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4C14A" w14:textId="77777777" w:rsidR="006D57A3" w:rsidRPr="006D57A3" w:rsidRDefault="006D57A3" w:rsidP="006D57A3">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6D57A3">
        <w:rPr>
          <w:rFonts w:asciiTheme="majorHAnsi" w:eastAsiaTheme="majorEastAsia" w:hAnsiTheme="majorHAnsi" w:cstheme="majorBidi"/>
          <w:color w:val="2F5496" w:themeColor="accent1" w:themeShade="BF"/>
          <w:sz w:val="40"/>
          <w:szCs w:val="40"/>
        </w:rPr>
        <w:t>Step overview</w:t>
      </w:r>
    </w:p>
    <w:p w14:paraId="1778380F" w14:textId="77777777" w:rsidR="006D57A3" w:rsidRPr="006D57A3" w:rsidRDefault="006D57A3" w:rsidP="006D57A3">
      <w:pPr>
        <w:spacing w:after="0" w:line="240" w:lineRule="auto"/>
        <w:rPr>
          <w:sz w:val="24"/>
          <w:szCs w:val="24"/>
        </w:rPr>
      </w:pPr>
    </w:p>
    <w:tbl>
      <w:tblPr>
        <w:tblStyle w:val="GridTable1Light"/>
        <w:tblW w:w="8926" w:type="dxa"/>
        <w:tblLook w:val="0400" w:firstRow="0" w:lastRow="0" w:firstColumn="0" w:lastColumn="0" w:noHBand="0" w:noVBand="1"/>
      </w:tblPr>
      <w:tblGrid>
        <w:gridCol w:w="2122"/>
        <w:gridCol w:w="6804"/>
      </w:tblGrid>
      <w:tr w:rsidR="006D57A3" w:rsidRPr="006D57A3" w14:paraId="59260AED" w14:textId="77777777" w:rsidTr="00314DB3">
        <w:trPr>
          <w:trHeight w:val="399"/>
        </w:trPr>
        <w:tc>
          <w:tcPr>
            <w:tcW w:w="2122" w:type="dxa"/>
            <w:shd w:val="clear" w:color="auto" w:fill="44546A" w:themeFill="text2"/>
          </w:tcPr>
          <w:p w14:paraId="7A0B5ACE" w14:textId="77777777" w:rsidR="006D57A3" w:rsidRPr="00767548" w:rsidRDefault="006D57A3" w:rsidP="006D57A3">
            <w:pPr>
              <w:spacing w:before="120" w:after="120"/>
              <w:rPr>
                <w:rFonts w:ascii="Aptos" w:eastAsia="Times New Roman" w:hAnsi="Aptos" w:cs="Times New Roman"/>
                <w:b/>
                <w:bCs/>
                <w:color w:val="FFFFFF" w:themeColor="background1"/>
                <w:kern w:val="0"/>
                <w:sz w:val="20"/>
                <w:szCs w:val="20"/>
                <w:lang w:eastAsia="en-GB"/>
                <w14:ligatures w14:val="none"/>
              </w:rPr>
            </w:pPr>
            <w:r w:rsidRPr="00767548">
              <w:rPr>
                <w:rFonts w:ascii="Aptos" w:eastAsia="Times New Roman" w:hAnsi="Aptos" w:cs="Times New Roman"/>
                <w:b/>
                <w:bCs/>
                <w:color w:val="FFFFFF" w:themeColor="background1"/>
                <w:kern w:val="0"/>
                <w:sz w:val="20"/>
                <w:szCs w:val="20"/>
                <w:lang w:eastAsia="en-GB"/>
                <w14:ligatures w14:val="none"/>
              </w:rPr>
              <w:t>Sub-area</w:t>
            </w:r>
          </w:p>
        </w:tc>
        <w:tc>
          <w:tcPr>
            <w:tcW w:w="6804" w:type="dxa"/>
            <w:shd w:val="clear" w:color="auto" w:fill="EAEDF1" w:themeFill="text2" w:themeFillTint="1A"/>
          </w:tcPr>
          <w:p w14:paraId="20A79C5B" w14:textId="4E587956" w:rsidR="006D57A3" w:rsidRPr="006D57A3" w:rsidRDefault="006D57A3" w:rsidP="006D57A3">
            <w:pPr>
              <w:spacing w:before="120" w:after="120"/>
              <w:rPr>
                <w:rFonts w:ascii="Aptos" w:eastAsia="Times New Roman" w:hAnsi="Aptos" w:cs="Times New Roman"/>
                <w:b/>
                <w:bCs/>
                <w:color w:val="000000"/>
                <w:kern w:val="0"/>
                <w:sz w:val="20"/>
                <w:szCs w:val="20"/>
                <w:lang w:eastAsia="en-GB"/>
                <w14:ligatures w14:val="none"/>
              </w:rPr>
            </w:pPr>
            <w:r w:rsidRPr="006D57A3">
              <w:rPr>
                <w:rFonts w:ascii="Aptos" w:eastAsia="Times New Roman" w:hAnsi="Aptos" w:cs="Times New Roman"/>
                <w:b/>
                <w:bCs/>
                <w:color w:val="000000"/>
                <w:kern w:val="0"/>
                <w:sz w:val="20"/>
                <w:szCs w:val="20"/>
                <w:lang w:eastAsia="en-GB"/>
                <w14:ligatures w14:val="none"/>
              </w:rPr>
              <w:t>9.6. Judiciary</w:t>
            </w:r>
          </w:p>
        </w:tc>
      </w:tr>
      <w:tr w:rsidR="006D57A3" w:rsidRPr="006D57A3" w14:paraId="3A3466FD" w14:textId="77777777" w:rsidTr="00314DB3">
        <w:trPr>
          <w:trHeight w:val="393"/>
        </w:trPr>
        <w:tc>
          <w:tcPr>
            <w:tcW w:w="2122" w:type="dxa"/>
            <w:shd w:val="clear" w:color="auto" w:fill="44546A" w:themeFill="text2"/>
          </w:tcPr>
          <w:p w14:paraId="237E04F5" w14:textId="77777777" w:rsidR="006D57A3" w:rsidRPr="00767548" w:rsidRDefault="006D57A3" w:rsidP="006D57A3">
            <w:pPr>
              <w:spacing w:before="120" w:after="120"/>
              <w:rPr>
                <w:rFonts w:ascii="Aptos" w:eastAsia="Times New Roman" w:hAnsi="Aptos" w:cs="Times New Roman"/>
                <w:b/>
                <w:bCs/>
                <w:color w:val="FFFFFF" w:themeColor="background1"/>
                <w:kern w:val="0"/>
                <w:sz w:val="20"/>
                <w:szCs w:val="20"/>
                <w:lang w:eastAsia="en-GB"/>
                <w14:ligatures w14:val="none"/>
              </w:rPr>
            </w:pPr>
            <w:r w:rsidRPr="00767548">
              <w:rPr>
                <w:rFonts w:ascii="Aptos" w:eastAsia="Times New Roman" w:hAnsi="Aptos" w:cs="Times New Roman"/>
                <w:b/>
                <w:bCs/>
                <w:color w:val="FFFFFF" w:themeColor="background1"/>
                <w:kern w:val="0"/>
                <w:sz w:val="20"/>
                <w:szCs w:val="20"/>
                <w:lang w:eastAsia="en-GB"/>
                <w14:ligatures w14:val="none"/>
              </w:rPr>
              <w:t>Reform</w:t>
            </w:r>
          </w:p>
        </w:tc>
        <w:tc>
          <w:tcPr>
            <w:tcW w:w="6804" w:type="dxa"/>
            <w:shd w:val="clear" w:color="auto" w:fill="EAEDF1" w:themeFill="text2" w:themeFillTint="1A"/>
          </w:tcPr>
          <w:p w14:paraId="34910332" w14:textId="03458353" w:rsidR="006D57A3" w:rsidRPr="006D57A3" w:rsidRDefault="006D57A3" w:rsidP="006D57A3">
            <w:pPr>
              <w:spacing w:before="120" w:after="120"/>
              <w:rPr>
                <w:rFonts w:ascii="Aptos" w:eastAsia="Times New Roman" w:hAnsi="Aptos" w:cs="Times New Roman"/>
                <w:b/>
                <w:bCs/>
                <w:color w:val="000000"/>
                <w:kern w:val="0"/>
                <w:sz w:val="20"/>
                <w:szCs w:val="20"/>
                <w:lang w:eastAsia="en-GB"/>
                <w14:ligatures w14:val="none"/>
              </w:rPr>
            </w:pPr>
            <w:r w:rsidRPr="006D57A3">
              <w:rPr>
                <w:rFonts w:ascii="Aptos" w:eastAsia="Times New Roman" w:hAnsi="Aptos" w:cs="Times New Roman"/>
                <w:b/>
                <w:bCs/>
                <w:color w:val="000000"/>
                <w:kern w:val="0"/>
                <w:sz w:val="20"/>
                <w:szCs w:val="20"/>
                <w:lang w:eastAsia="en-GB"/>
                <w14:ligatures w14:val="none"/>
              </w:rPr>
              <w:t>9.6.1 Reform of justice system</w:t>
            </w:r>
          </w:p>
        </w:tc>
      </w:tr>
      <w:tr w:rsidR="006D57A3" w:rsidRPr="006D57A3" w14:paraId="7132511B" w14:textId="77777777" w:rsidTr="00314DB3">
        <w:trPr>
          <w:trHeight w:val="393"/>
        </w:trPr>
        <w:tc>
          <w:tcPr>
            <w:tcW w:w="2122" w:type="dxa"/>
            <w:shd w:val="clear" w:color="auto" w:fill="44546A" w:themeFill="text2"/>
          </w:tcPr>
          <w:p w14:paraId="075FB8E0" w14:textId="77777777" w:rsidR="006D57A3" w:rsidRPr="00767548" w:rsidRDefault="006D57A3" w:rsidP="006D57A3">
            <w:pPr>
              <w:spacing w:before="120" w:after="120"/>
              <w:rPr>
                <w:rFonts w:ascii="Aptos" w:eastAsia="Times New Roman" w:hAnsi="Aptos" w:cs="Times New Roman"/>
                <w:b/>
                <w:bCs/>
                <w:color w:val="FFFFFF" w:themeColor="background1"/>
                <w:kern w:val="0"/>
                <w:sz w:val="20"/>
                <w:szCs w:val="20"/>
                <w:lang w:eastAsia="en-GB"/>
                <w14:ligatures w14:val="none"/>
              </w:rPr>
            </w:pPr>
            <w:r w:rsidRPr="00767548">
              <w:rPr>
                <w:rFonts w:ascii="Aptos" w:eastAsia="Times New Roman" w:hAnsi="Aptos" w:cs="Times New Roman"/>
                <w:b/>
                <w:bCs/>
                <w:color w:val="FFFFFF" w:themeColor="background1"/>
                <w:kern w:val="0"/>
                <w:sz w:val="20"/>
                <w:szCs w:val="20"/>
                <w:lang w:eastAsia="en-GB"/>
                <w14:ligatures w14:val="none"/>
              </w:rPr>
              <w:t>Reporting indicator</w:t>
            </w:r>
          </w:p>
        </w:tc>
        <w:tc>
          <w:tcPr>
            <w:tcW w:w="6804" w:type="dxa"/>
            <w:shd w:val="clear" w:color="auto" w:fill="EAEDF1" w:themeFill="text2" w:themeFillTint="1A"/>
          </w:tcPr>
          <w:p w14:paraId="18D9A8ED" w14:textId="6BB496C0" w:rsidR="006D57A3" w:rsidRPr="006D57A3" w:rsidRDefault="006D57A3" w:rsidP="006D57A3">
            <w:pPr>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Number of elected judges and number of public prosecutors</w:t>
            </w:r>
          </w:p>
        </w:tc>
      </w:tr>
      <w:tr w:rsidR="006D57A3" w:rsidRPr="006D57A3" w14:paraId="1BBDA0EC" w14:textId="77777777" w:rsidTr="00314DB3">
        <w:trPr>
          <w:trHeight w:val="759"/>
        </w:trPr>
        <w:tc>
          <w:tcPr>
            <w:tcW w:w="2122" w:type="dxa"/>
            <w:shd w:val="clear" w:color="auto" w:fill="44546A" w:themeFill="text2"/>
          </w:tcPr>
          <w:p w14:paraId="325E5DD0" w14:textId="77777777" w:rsidR="006D57A3" w:rsidRPr="00767548" w:rsidRDefault="006D57A3" w:rsidP="006D57A3">
            <w:pPr>
              <w:spacing w:before="120" w:after="120"/>
              <w:rPr>
                <w:rFonts w:ascii="Aptos" w:eastAsia="Times New Roman" w:hAnsi="Aptos" w:cs="Times New Roman"/>
                <w:b/>
                <w:bCs/>
                <w:color w:val="FFFFFF" w:themeColor="background1"/>
                <w:kern w:val="0"/>
                <w:sz w:val="20"/>
                <w:szCs w:val="20"/>
                <w:lang w:eastAsia="en-GB"/>
                <w14:ligatures w14:val="none"/>
              </w:rPr>
            </w:pPr>
            <w:r w:rsidRPr="00767548">
              <w:rPr>
                <w:rFonts w:ascii="Aptos" w:eastAsia="Times New Roman" w:hAnsi="Aptos" w:cs="Times New Roman"/>
                <w:b/>
                <w:bCs/>
                <w:color w:val="FFFFFF" w:themeColor="background1"/>
                <w:kern w:val="0"/>
                <w:sz w:val="20"/>
                <w:szCs w:val="20"/>
                <w:lang w:eastAsia="en-GB"/>
                <w14:ligatures w14:val="none"/>
              </w:rPr>
              <w:t>Reform Step</w:t>
            </w:r>
          </w:p>
        </w:tc>
        <w:tc>
          <w:tcPr>
            <w:tcW w:w="6804" w:type="dxa"/>
          </w:tcPr>
          <w:p w14:paraId="6941C8B4" w14:textId="7F8A9A25" w:rsidR="00AA2432" w:rsidRPr="006D57A3" w:rsidRDefault="006D57A3" w:rsidP="006D57A3">
            <w:pPr>
              <w:spacing w:before="120" w:after="120"/>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1. Number of elected judges and number of public prosecutors increased by 10%</w:t>
            </w:r>
          </w:p>
        </w:tc>
      </w:tr>
      <w:tr w:rsidR="006D57A3" w:rsidRPr="006D57A3" w14:paraId="39B951BF" w14:textId="77777777" w:rsidTr="00314DB3">
        <w:trPr>
          <w:trHeight w:val="559"/>
        </w:trPr>
        <w:tc>
          <w:tcPr>
            <w:tcW w:w="2122" w:type="dxa"/>
            <w:shd w:val="clear" w:color="auto" w:fill="44546A" w:themeFill="text2"/>
          </w:tcPr>
          <w:p w14:paraId="54D3370E" w14:textId="77777777" w:rsidR="006D57A3" w:rsidRPr="00767548" w:rsidRDefault="006D57A3" w:rsidP="006D57A3">
            <w:pPr>
              <w:spacing w:before="120" w:after="120"/>
              <w:rPr>
                <w:rFonts w:ascii="Aptos" w:eastAsia="Times New Roman" w:hAnsi="Aptos" w:cs="Times New Roman"/>
                <w:color w:val="FFFFFF" w:themeColor="background1"/>
                <w:sz w:val="20"/>
                <w:szCs w:val="20"/>
                <w:lang w:eastAsia="en-GB"/>
              </w:rPr>
            </w:pPr>
            <w:r w:rsidRPr="00767548">
              <w:rPr>
                <w:rFonts w:ascii="Aptos" w:eastAsia="Times New Roman" w:hAnsi="Aptos" w:cs="Times New Roman"/>
                <w:b/>
                <w:bCs/>
                <w:color w:val="FFFFFF" w:themeColor="background1"/>
                <w:kern w:val="0"/>
                <w:sz w:val="20"/>
                <w:szCs w:val="20"/>
                <w:lang w:eastAsia="en-GB"/>
                <w14:ligatures w14:val="none"/>
              </w:rPr>
              <w:t>Step deadline</w:t>
            </w:r>
          </w:p>
        </w:tc>
        <w:tc>
          <w:tcPr>
            <w:tcW w:w="6804" w:type="dxa"/>
          </w:tcPr>
          <w:p w14:paraId="45F3EC34" w14:textId="77777777" w:rsidR="006D57A3" w:rsidRPr="006D57A3" w:rsidRDefault="006D57A3" w:rsidP="006D57A3">
            <w:pPr>
              <w:spacing w:before="120" w:after="120"/>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December 2025</w:t>
            </w:r>
          </w:p>
        </w:tc>
      </w:tr>
      <w:tr w:rsidR="006D57A3" w:rsidRPr="006D57A3" w14:paraId="34E08EB3" w14:textId="77777777" w:rsidTr="00314DB3">
        <w:trPr>
          <w:trHeight w:val="553"/>
        </w:trPr>
        <w:tc>
          <w:tcPr>
            <w:tcW w:w="2122" w:type="dxa"/>
            <w:shd w:val="clear" w:color="auto" w:fill="44546A" w:themeFill="text2"/>
          </w:tcPr>
          <w:p w14:paraId="1581D179" w14:textId="77777777" w:rsidR="006D57A3" w:rsidRPr="00767548" w:rsidRDefault="006D57A3" w:rsidP="006D57A3">
            <w:pPr>
              <w:spacing w:before="120" w:after="120"/>
              <w:rPr>
                <w:rFonts w:ascii="Aptos" w:eastAsia="Times New Roman" w:hAnsi="Aptos" w:cs="Times New Roman"/>
                <w:b/>
                <w:bCs/>
                <w:color w:val="FFFFFF" w:themeColor="background1"/>
                <w:kern w:val="0"/>
                <w:sz w:val="20"/>
                <w:szCs w:val="20"/>
                <w:lang w:eastAsia="en-GB"/>
                <w14:ligatures w14:val="none"/>
              </w:rPr>
            </w:pPr>
            <w:r w:rsidRPr="00767548">
              <w:rPr>
                <w:rFonts w:ascii="Aptos" w:eastAsia="Times New Roman" w:hAnsi="Aptos" w:cs="Times New Roman"/>
                <w:b/>
                <w:bCs/>
                <w:color w:val="FFFFFF" w:themeColor="background1"/>
                <w:kern w:val="0"/>
                <w:sz w:val="20"/>
                <w:szCs w:val="20"/>
                <w:lang w:eastAsia="en-GB"/>
                <w14:ligatures w14:val="none"/>
              </w:rPr>
              <w:t>Step value in EUR</w:t>
            </w:r>
          </w:p>
        </w:tc>
        <w:tc>
          <w:tcPr>
            <w:tcW w:w="6804" w:type="dxa"/>
          </w:tcPr>
          <w:p w14:paraId="304DD491" w14:textId="017BAD97" w:rsidR="006D57A3" w:rsidRPr="006D57A3" w:rsidRDefault="006D57A3" w:rsidP="006D57A3">
            <w:pPr>
              <w:spacing w:before="120" w:after="120"/>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13.587.623,37</w:t>
            </w:r>
          </w:p>
        </w:tc>
      </w:tr>
      <w:tr w:rsidR="006D57A3" w:rsidRPr="006D57A3" w14:paraId="0A764B9F" w14:textId="77777777" w:rsidTr="00314DB3">
        <w:trPr>
          <w:trHeight w:val="535"/>
        </w:trPr>
        <w:tc>
          <w:tcPr>
            <w:tcW w:w="2122" w:type="dxa"/>
            <w:shd w:val="clear" w:color="auto" w:fill="44546A" w:themeFill="text2"/>
          </w:tcPr>
          <w:p w14:paraId="25CF4292" w14:textId="77777777" w:rsidR="006D57A3" w:rsidRPr="00767548" w:rsidRDefault="006D57A3" w:rsidP="006D57A3">
            <w:pPr>
              <w:spacing w:before="120" w:after="120"/>
              <w:rPr>
                <w:rFonts w:ascii="Aptos" w:eastAsia="Times New Roman" w:hAnsi="Aptos" w:cs="Times New Roman"/>
                <w:b/>
                <w:bCs/>
                <w:color w:val="FFFFFF" w:themeColor="background1"/>
                <w:kern w:val="0"/>
                <w:sz w:val="20"/>
                <w:szCs w:val="20"/>
                <w:lang w:eastAsia="en-GB"/>
                <w14:ligatures w14:val="none"/>
              </w:rPr>
            </w:pPr>
            <w:r w:rsidRPr="00767548">
              <w:rPr>
                <w:rFonts w:ascii="Aptos" w:eastAsia="Times New Roman" w:hAnsi="Aptos" w:cs="Times New Roman"/>
                <w:b/>
                <w:bCs/>
                <w:color w:val="FFFFFF" w:themeColor="background1"/>
                <w:kern w:val="0"/>
                <w:sz w:val="20"/>
                <w:szCs w:val="20"/>
                <w:lang w:eastAsia="en-GB"/>
                <w14:ligatures w14:val="none"/>
              </w:rPr>
              <w:t>Responsible</w:t>
            </w:r>
          </w:p>
        </w:tc>
        <w:tc>
          <w:tcPr>
            <w:tcW w:w="6804" w:type="dxa"/>
          </w:tcPr>
          <w:p w14:paraId="1B3990D7" w14:textId="77777777" w:rsidR="006D57A3" w:rsidRPr="006D57A3" w:rsidRDefault="006D57A3" w:rsidP="006D57A3">
            <w:pPr>
              <w:spacing w:before="120" w:after="120"/>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HPC, HJC</w:t>
            </w:r>
          </w:p>
        </w:tc>
      </w:tr>
      <w:tr w:rsidR="006D57A3" w:rsidRPr="006D57A3" w14:paraId="1F10287D" w14:textId="77777777" w:rsidTr="00314DB3">
        <w:trPr>
          <w:trHeight w:val="583"/>
        </w:trPr>
        <w:tc>
          <w:tcPr>
            <w:tcW w:w="2122" w:type="dxa"/>
            <w:shd w:val="clear" w:color="auto" w:fill="44546A" w:themeFill="text2"/>
          </w:tcPr>
          <w:p w14:paraId="773FB91F" w14:textId="77777777" w:rsidR="006D57A3" w:rsidRPr="00767548" w:rsidRDefault="006D57A3" w:rsidP="006D57A3">
            <w:pPr>
              <w:spacing w:before="120" w:after="120"/>
              <w:rPr>
                <w:rFonts w:ascii="Aptos" w:eastAsia="Times New Roman" w:hAnsi="Aptos" w:cs="Times New Roman"/>
                <w:color w:val="FFFFFF" w:themeColor="background1"/>
                <w:sz w:val="20"/>
                <w:szCs w:val="20"/>
                <w:lang w:eastAsia="en-GB"/>
              </w:rPr>
            </w:pPr>
            <w:r w:rsidRPr="00767548">
              <w:rPr>
                <w:rFonts w:ascii="Aptos" w:eastAsia="Times New Roman" w:hAnsi="Aptos" w:cs="Times New Roman"/>
                <w:b/>
                <w:bCs/>
                <w:color w:val="FFFFFF" w:themeColor="background1"/>
                <w:kern w:val="0"/>
                <w:sz w:val="20"/>
                <w:szCs w:val="20"/>
                <w:lang w:eastAsia="en-GB"/>
                <w14:ligatures w14:val="none"/>
              </w:rPr>
              <w:t>Baseline</w:t>
            </w:r>
          </w:p>
        </w:tc>
        <w:tc>
          <w:tcPr>
            <w:tcW w:w="6804" w:type="dxa"/>
          </w:tcPr>
          <w:p w14:paraId="762E99E1" w14:textId="77777777" w:rsidR="006D57A3" w:rsidRPr="006D57A3" w:rsidRDefault="006D57A3" w:rsidP="006D57A3">
            <w:pPr>
              <w:spacing w:before="120" w:after="120"/>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2 718 judges employed</w:t>
            </w:r>
          </w:p>
          <w:p w14:paraId="0F2BD17C" w14:textId="74D248E4" w:rsidR="006D57A3" w:rsidRPr="006D57A3" w:rsidRDefault="006D57A3" w:rsidP="006D57A3">
            <w:pPr>
              <w:spacing w:before="120" w:after="120"/>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689 public prosecutors perform their duties</w:t>
            </w:r>
          </w:p>
        </w:tc>
      </w:tr>
      <w:tr w:rsidR="006D57A3" w:rsidRPr="006D57A3" w14:paraId="048688E5" w14:textId="77777777" w:rsidTr="00314DB3">
        <w:trPr>
          <w:trHeight w:val="577"/>
        </w:trPr>
        <w:tc>
          <w:tcPr>
            <w:tcW w:w="2122" w:type="dxa"/>
            <w:shd w:val="clear" w:color="auto" w:fill="44546A" w:themeFill="text2"/>
          </w:tcPr>
          <w:p w14:paraId="49EDFDDB" w14:textId="77777777" w:rsidR="006D57A3" w:rsidRPr="00767548" w:rsidRDefault="006D57A3" w:rsidP="006D57A3">
            <w:pPr>
              <w:spacing w:before="120" w:after="120"/>
              <w:rPr>
                <w:rFonts w:ascii="Aptos" w:eastAsia="Times New Roman" w:hAnsi="Aptos" w:cs="Times New Roman"/>
                <w:b/>
                <w:bCs/>
                <w:color w:val="FFFFFF" w:themeColor="background1"/>
                <w:kern w:val="0"/>
                <w:sz w:val="20"/>
                <w:szCs w:val="20"/>
                <w:lang w:eastAsia="en-GB"/>
                <w14:ligatures w14:val="none"/>
              </w:rPr>
            </w:pPr>
            <w:r w:rsidRPr="00767548">
              <w:rPr>
                <w:rFonts w:ascii="Aptos" w:eastAsia="Times New Roman" w:hAnsi="Aptos" w:cs="Times New Roman"/>
                <w:b/>
                <w:bCs/>
                <w:color w:val="FFFFFF" w:themeColor="background1"/>
                <w:kern w:val="0"/>
                <w:sz w:val="20"/>
                <w:szCs w:val="20"/>
                <w:lang w:eastAsia="en-GB"/>
                <w14:ligatures w14:val="none"/>
              </w:rPr>
              <w:t>Sources of verification</w:t>
            </w:r>
          </w:p>
        </w:tc>
        <w:tc>
          <w:tcPr>
            <w:tcW w:w="6804" w:type="dxa"/>
          </w:tcPr>
          <w:p w14:paraId="4A30881C" w14:textId="77777777" w:rsidR="006D57A3" w:rsidRPr="006D57A3" w:rsidRDefault="006D57A3" w:rsidP="006D57A3">
            <w:pPr>
              <w:spacing w:before="120" w:after="120"/>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Annual report of HPC</w:t>
            </w:r>
          </w:p>
          <w:p w14:paraId="42E273F0" w14:textId="77777777" w:rsidR="006D57A3" w:rsidRPr="006D57A3" w:rsidRDefault="006D57A3" w:rsidP="006D57A3">
            <w:pPr>
              <w:spacing w:before="120" w:after="120"/>
              <w:rPr>
                <w:rFonts w:ascii="Aptos" w:eastAsia="Times New Roman" w:hAnsi="Aptos" w:cs="Times New Roman"/>
                <w:color w:val="000000"/>
                <w:kern w:val="0"/>
                <w:sz w:val="20"/>
                <w:szCs w:val="20"/>
                <w:lang w:eastAsia="en-GB"/>
                <w14:ligatures w14:val="none"/>
              </w:rPr>
            </w:pPr>
            <w:r w:rsidRPr="006D57A3">
              <w:rPr>
                <w:rFonts w:ascii="Aptos" w:eastAsia="Times New Roman" w:hAnsi="Aptos" w:cs="Times New Roman"/>
                <w:color w:val="000000"/>
                <w:kern w:val="0"/>
                <w:sz w:val="20"/>
                <w:szCs w:val="20"/>
                <w:lang w:eastAsia="en-GB"/>
                <w14:ligatures w14:val="none"/>
              </w:rPr>
              <w:t>Annual report of HJC</w:t>
            </w:r>
          </w:p>
        </w:tc>
      </w:tr>
    </w:tbl>
    <w:p w14:paraId="383E7057" w14:textId="77777777" w:rsidR="006D57A3" w:rsidRPr="006D57A3" w:rsidRDefault="006D57A3" w:rsidP="006D57A3">
      <w:pPr>
        <w:spacing w:after="0" w:line="240" w:lineRule="auto"/>
        <w:rPr>
          <w:sz w:val="24"/>
          <w:szCs w:val="24"/>
        </w:rPr>
      </w:pPr>
    </w:p>
    <w:p w14:paraId="4E688775" w14:textId="77777777" w:rsidR="006D57A3" w:rsidRPr="006D57A3" w:rsidRDefault="006D57A3" w:rsidP="006D57A3">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6D57A3">
        <w:rPr>
          <w:rFonts w:asciiTheme="majorHAnsi" w:eastAsiaTheme="majorEastAsia" w:hAnsiTheme="majorHAnsi" w:cstheme="majorBidi"/>
          <w:color w:val="2F5496" w:themeColor="accent1" w:themeShade="BF"/>
          <w:sz w:val="40"/>
          <w:szCs w:val="40"/>
        </w:rPr>
        <w:t>Analysis</w:t>
      </w:r>
    </w:p>
    <w:p w14:paraId="1B2162C8" w14:textId="77777777" w:rsidR="006D57A3" w:rsidRPr="006D57A3" w:rsidRDefault="006D57A3" w:rsidP="006D57A3">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6D57A3" w:rsidRPr="006D57A3" w14:paraId="5A39DCB5"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6AD74CE0" w14:textId="77777777" w:rsidR="006D57A3" w:rsidRPr="00767548" w:rsidRDefault="006D57A3" w:rsidP="006D57A3">
            <w:pPr>
              <w:spacing w:before="120" w:after="120"/>
              <w:rPr>
                <w:rFonts w:ascii="Aptos" w:eastAsia="Times New Roman" w:hAnsi="Aptos" w:cs="Times New Roman"/>
                <w:color w:val="FFFFFF" w:themeColor="background1"/>
                <w:kern w:val="0"/>
                <w:sz w:val="20"/>
                <w:szCs w:val="20"/>
                <w:lang w:eastAsia="en-GB"/>
                <w14:ligatures w14:val="none"/>
              </w:rPr>
            </w:pPr>
            <w:r w:rsidRPr="00767548">
              <w:rPr>
                <w:rFonts w:ascii="Aptos" w:eastAsia="Times New Roman" w:hAnsi="Aptos" w:cs="Times New Roman"/>
                <w:color w:val="FFFFFF" w:themeColor="background1"/>
                <w:kern w:val="0"/>
                <w:sz w:val="20"/>
                <w:szCs w:val="20"/>
                <w:lang w:eastAsia="en-GB"/>
                <w14:ligatures w14:val="none"/>
              </w:rPr>
              <w:t>Define step milestones</w:t>
            </w:r>
          </w:p>
        </w:tc>
        <w:tc>
          <w:tcPr>
            <w:tcW w:w="6753" w:type="dxa"/>
          </w:tcPr>
          <w:p w14:paraId="7963E4FD" w14:textId="54BB47C2" w:rsidR="000C5C64" w:rsidRPr="008D23AF" w:rsidRDefault="000C5C64" w:rsidP="008D23AF">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8D23AF">
              <w:rPr>
                <w:sz w:val="20"/>
                <w:szCs w:val="20"/>
              </w:rPr>
              <w:t>Announcement of the competition – the official call for applications is published.</w:t>
            </w:r>
          </w:p>
          <w:p w14:paraId="0854C981" w14:textId="77777777" w:rsidR="000C5C64" w:rsidRPr="000C5C64" w:rsidRDefault="000C5C64" w:rsidP="000C5C64">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0C5C64">
              <w:rPr>
                <w:sz w:val="20"/>
                <w:szCs w:val="20"/>
              </w:rPr>
              <w:t>Decision on appointment – the Council makes a formal decision on which candidates are selected.</w:t>
            </w:r>
          </w:p>
          <w:p w14:paraId="40C17F35" w14:textId="54942908" w:rsidR="006D57A3" w:rsidRPr="006D57A3" w:rsidRDefault="000C5C64" w:rsidP="00606EFA">
            <w:pPr>
              <w:numPr>
                <w:ilvl w:val="0"/>
                <w:numId w:val="2"/>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0C5C64">
              <w:rPr>
                <w:sz w:val="20"/>
                <w:szCs w:val="20"/>
              </w:rPr>
              <w:t>Oath-taking in Parliament – appointed judges or prosecutors take their oath before the National Assembly to officially assume office.</w:t>
            </w:r>
          </w:p>
        </w:tc>
      </w:tr>
      <w:tr w:rsidR="006D57A3" w:rsidRPr="006D57A3" w14:paraId="43E898E2"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78D4FE64" w14:textId="77777777" w:rsidR="006D57A3" w:rsidRPr="00767548" w:rsidRDefault="006D57A3" w:rsidP="006D57A3">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767548">
              <w:rPr>
                <w:rFonts w:ascii="Aptos" w:eastAsia="Times New Roman" w:hAnsi="Aptos" w:cs="Times New Roman"/>
                <w:color w:val="FFFFFF" w:themeColor="background1"/>
                <w:kern w:val="0"/>
                <w:sz w:val="20"/>
                <w:szCs w:val="20"/>
                <w:lang w:eastAsia="en-GB"/>
                <w14:ligatures w14:val="none"/>
              </w:rPr>
              <w:t>Analyse</w:t>
            </w:r>
            <w:proofErr w:type="spellEnd"/>
            <w:r w:rsidRPr="00767548">
              <w:rPr>
                <w:rFonts w:ascii="Aptos" w:eastAsia="Times New Roman" w:hAnsi="Aptos" w:cs="Times New Roman"/>
                <w:color w:val="FFFFFF" w:themeColor="background1"/>
                <w:kern w:val="0"/>
                <w:sz w:val="20"/>
                <w:szCs w:val="20"/>
                <w:lang w:eastAsia="en-GB"/>
                <w14:ligatures w14:val="none"/>
              </w:rPr>
              <w:t xml:space="preserve"> achievement of each milestone</w:t>
            </w:r>
          </w:p>
        </w:tc>
        <w:tc>
          <w:tcPr>
            <w:tcW w:w="6753" w:type="dxa"/>
          </w:tcPr>
          <w:p w14:paraId="1E303F16" w14:textId="77777777" w:rsidR="006D57A3" w:rsidRP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D57A3">
              <w:rPr>
                <w:i/>
                <w:iCs/>
                <w:sz w:val="20"/>
                <w:szCs w:val="20"/>
              </w:rPr>
              <w:t>For each identified milestone, provide a succinct analysis of its implementation process. Use numbered points corresponding to the defined milestones above. Please provide references wherever possible.</w:t>
            </w:r>
          </w:p>
          <w:p w14:paraId="0DC6F60D" w14:textId="62C598E6" w:rsidR="008B668C" w:rsidRPr="008B668C" w:rsidRDefault="00430076" w:rsidP="00F87B95">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430076">
              <w:rPr>
                <w:sz w:val="20"/>
                <w:szCs w:val="20"/>
              </w:rPr>
              <w:t xml:space="preserve">In 2025, the High Prosecutorial Council (HPC) </w:t>
            </w:r>
            <w:hyperlink r:id="rId8" w:history="1">
              <w:r w:rsidRPr="00430076">
                <w:rPr>
                  <w:rStyle w:val="Hyperlink"/>
                  <w:sz w:val="20"/>
                  <w:szCs w:val="20"/>
                </w:rPr>
                <w:t>announced</w:t>
              </w:r>
            </w:hyperlink>
            <w:r w:rsidRPr="00430076">
              <w:rPr>
                <w:sz w:val="20"/>
                <w:szCs w:val="20"/>
              </w:rPr>
              <w:t xml:space="preserve"> 4 competitions for the appointment of 36 prosecutors.</w:t>
            </w:r>
            <w:r>
              <w:t xml:space="preserve"> </w:t>
            </w:r>
            <w:r w:rsidRPr="00430076">
              <w:rPr>
                <w:sz w:val="20"/>
                <w:szCs w:val="20"/>
              </w:rPr>
              <w:t>In 2025, the High Judicial Council (</w:t>
            </w:r>
            <w:r>
              <w:rPr>
                <w:sz w:val="20"/>
                <w:szCs w:val="20"/>
              </w:rPr>
              <w:t>HJC</w:t>
            </w:r>
            <w:r w:rsidRPr="00430076">
              <w:rPr>
                <w:sz w:val="20"/>
                <w:szCs w:val="20"/>
              </w:rPr>
              <w:t xml:space="preserve">) </w:t>
            </w:r>
            <w:hyperlink r:id="rId9" w:history="1">
              <w:r w:rsidRPr="00430076">
                <w:rPr>
                  <w:rStyle w:val="Hyperlink"/>
                  <w:sz w:val="20"/>
                  <w:szCs w:val="20"/>
                </w:rPr>
                <w:t>announced</w:t>
              </w:r>
            </w:hyperlink>
            <w:r w:rsidRPr="00430076">
              <w:rPr>
                <w:sz w:val="20"/>
                <w:szCs w:val="20"/>
              </w:rPr>
              <w:t xml:space="preserve"> 15 competitions, through which 146 judges were appointed over the past three years.</w:t>
            </w:r>
            <w:r w:rsidR="00F87B95" w:rsidRPr="008B668C" w:rsidDel="00F87B95">
              <w:rPr>
                <w:sz w:val="20"/>
                <w:szCs w:val="20"/>
              </w:rPr>
              <w:t xml:space="preserve"> </w:t>
            </w:r>
          </w:p>
          <w:p w14:paraId="3ECC3F7F" w14:textId="73AD4848" w:rsidR="00795BCA" w:rsidRPr="00795BCA" w:rsidRDefault="00F87B95" w:rsidP="008D23AF">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proofErr w:type="spellStart"/>
            <w:r w:rsidRPr="00C85DD2">
              <w:rPr>
                <w:sz w:val="20"/>
                <w:szCs w:val="20"/>
              </w:rPr>
              <w:t>Compettitions</w:t>
            </w:r>
            <w:proofErr w:type="spellEnd"/>
            <w:r w:rsidRPr="00C85DD2">
              <w:rPr>
                <w:sz w:val="20"/>
                <w:szCs w:val="20"/>
              </w:rPr>
              <w:t xml:space="preserve"> can last for several years. These issues are primarily reflected in the bodies’ inability to make decisions on a regular and uninterrupted basis. In some instances, meetings could not be held due to a lack of quorum, while in others, decision-making was effectively blocked by institutional and procedural disagreements among council members. In certain cases, public calls have remained open for several years</w:t>
            </w:r>
            <w:r w:rsidR="008D23AF" w:rsidRPr="00C85DD2">
              <w:rPr>
                <w:sz w:val="20"/>
                <w:szCs w:val="20"/>
              </w:rPr>
              <w:t>.</w:t>
            </w:r>
            <w:r w:rsidRPr="00C85DD2">
              <w:rPr>
                <w:sz w:val="20"/>
                <w:szCs w:val="20"/>
              </w:rPr>
              <w:t xml:space="preserve"> </w:t>
            </w:r>
            <w:r w:rsidR="00795BCA" w:rsidRPr="00795BCA">
              <w:rPr>
                <w:sz w:val="20"/>
                <w:szCs w:val="20"/>
              </w:rPr>
              <w:t xml:space="preserve"> In practice, this step has been frequently obstructed, causing delays in filling positions and leaving courts and prosecutor’s offices </w:t>
            </w:r>
            <w:r w:rsidR="00795BCA" w:rsidRPr="00795BCA">
              <w:rPr>
                <w:sz w:val="20"/>
                <w:szCs w:val="20"/>
              </w:rPr>
              <w:lastRenderedPageBreak/>
              <w:t>temporarily understaffed. Repeated elections and procedural disputes have compounded the issue, negatively affecting the work of current officeholders, particularly in sensitive institutions like the Special Prosecutor’s Office for Organized Crime, and slowing the overall functioning of the justice system.</w:t>
            </w:r>
          </w:p>
          <w:p w14:paraId="3BF0F31A" w14:textId="5C66B1CD" w:rsidR="006D57A3" w:rsidRPr="006D57A3" w:rsidRDefault="00795BCA" w:rsidP="008B668C">
            <w:pPr>
              <w:numPr>
                <w:ilvl w:val="0"/>
                <w:numId w:val="3"/>
              </w:numPr>
              <w:spacing w:before="120" w:after="120"/>
              <w:contextualSpacing/>
              <w:cnfStyle w:val="000000000000" w:firstRow="0" w:lastRow="0" w:firstColumn="0" w:lastColumn="0" w:oddVBand="0" w:evenVBand="0" w:oddHBand="0" w:evenHBand="0" w:firstRowFirstColumn="0" w:firstRowLastColumn="0" w:lastRowFirstColumn="0" w:lastRowLastColumn="0"/>
              <w:rPr>
                <w:sz w:val="20"/>
                <w:szCs w:val="20"/>
              </w:rPr>
            </w:pPr>
            <w:r w:rsidRPr="00795BCA">
              <w:rPr>
                <w:sz w:val="20"/>
                <w:szCs w:val="20"/>
              </w:rPr>
              <w:t>After being formally selected by the H</w:t>
            </w:r>
            <w:r>
              <w:rPr>
                <w:sz w:val="20"/>
                <w:szCs w:val="20"/>
              </w:rPr>
              <w:t>JC and HPC</w:t>
            </w:r>
            <w:r w:rsidRPr="00795BCA">
              <w:rPr>
                <w:sz w:val="20"/>
                <w:szCs w:val="20"/>
              </w:rPr>
              <w:t>, judges and prosecutors take their official oath before the National Assembly. This ceremony marks the final step in the appointment process, after which the appointees officially assume their duties and begin exercising their judicial or prosecutorial functions.</w:t>
            </w:r>
          </w:p>
          <w:p w14:paraId="262DBE41" w14:textId="0472CE9C" w:rsidR="006D57A3" w:rsidRPr="006D57A3" w:rsidRDefault="006D57A3" w:rsidP="008D23AF">
            <w:pPr>
              <w:spacing w:before="120" w:after="120"/>
              <w:ind w:left="360"/>
              <w:contextualSpacing/>
              <w:cnfStyle w:val="000000000000" w:firstRow="0" w:lastRow="0" w:firstColumn="0" w:lastColumn="0" w:oddVBand="0" w:evenVBand="0" w:oddHBand="0" w:evenHBand="0" w:firstRowFirstColumn="0" w:firstRowLastColumn="0" w:lastRowFirstColumn="0" w:lastRowLastColumn="0"/>
              <w:rPr>
                <w:sz w:val="20"/>
                <w:szCs w:val="20"/>
              </w:rPr>
            </w:pPr>
          </w:p>
        </w:tc>
      </w:tr>
      <w:tr w:rsidR="006D57A3" w:rsidRPr="006D57A3" w14:paraId="5CC334E4"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D3DE4B3" w14:textId="77777777" w:rsidR="006D57A3" w:rsidRPr="00767548" w:rsidRDefault="006D57A3" w:rsidP="006D57A3">
            <w:pPr>
              <w:spacing w:before="120" w:after="120"/>
              <w:rPr>
                <w:rFonts w:ascii="Aptos" w:eastAsia="Times New Roman" w:hAnsi="Aptos" w:cs="Times New Roman"/>
                <w:color w:val="FFFFFF" w:themeColor="background1"/>
                <w:kern w:val="0"/>
                <w:sz w:val="20"/>
                <w:szCs w:val="20"/>
                <w:lang w:eastAsia="en-GB"/>
                <w14:ligatures w14:val="none"/>
              </w:rPr>
            </w:pPr>
            <w:r w:rsidRPr="00767548">
              <w:rPr>
                <w:rFonts w:ascii="Aptos" w:eastAsia="Times New Roman" w:hAnsi="Aptos" w:cs="Times New Roman"/>
                <w:color w:val="FFFFFF" w:themeColor="background1"/>
                <w:kern w:val="0"/>
                <w:sz w:val="20"/>
                <w:szCs w:val="20"/>
                <w:lang w:eastAsia="en-GB"/>
                <w14:ligatures w14:val="none"/>
              </w:rPr>
              <w:lastRenderedPageBreak/>
              <w:t>Key issues in implementation</w:t>
            </w:r>
          </w:p>
        </w:tc>
        <w:tc>
          <w:tcPr>
            <w:tcW w:w="6753" w:type="dxa"/>
          </w:tcPr>
          <w:p w14:paraId="5A7B959F" w14:textId="77777777" w:rsidR="006D57A3" w:rsidRPr="00767548"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color w:val="000000" w:themeColor="text1"/>
                <w:sz w:val="20"/>
                <w:szCs w:val="20"/>
              </w:rPr>
            </w:pPr>
            <w:r w:rsidRPr="006D57A3">
              <w:rPr>
                <w:i/>
                <w:iCs/>
                <w:sz w:val="20"/>
                <w:szCs w:val="20"/>
              </w:rPr>
              <w:t xml:space="preserve">List and briefly explain key problems/issues arising in the reform step implementation. This can follow the milestone structure, but depending on the reform step, it can also be an analysis for the whole step. </w:t>
            </w:r>
            <w:r w:rsidRPr="00767548">
              <w:rPr>
                <w:i/>
                <w:iCs/>
                <w:color w:val="000000" w:themeColor="text1"/>
                <w:sz w:val="20"/>
                <w:szCs w:val="20"/>
              </w:rPr>
              <w:t>Please provide references wherever possible.</w:t>
            </w:r>
          </w:p>
          <w:p w14:paraId="31855154" w14:textId="77777777" w:rsidR="00D66A75" w:rsidRPr="006746E9" w:rsidRDefault="00D66A75" w:rsidP="006D57A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p w14:paraId="7B8989FD" w14:textId="0AEF1A33" w:rsidR="006746E9" w:rsidRPr="006746E9" w:rsidRDefault="006746E9" w:rsidP="006746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bookmarkStart w:id="0" w:name="_Hlk224139490"/>
            <w:r w:rsidRPr="006746E9">
              <w:rPr>
                <w:sz w:val="20"/>
                <w:szCs w:val="20"/>
              </w:rPr>
              <w:t>The baseline figures from the Reform Agenda are 2,718 judges and 689 public prosecutors. According to data from the</w:t>
            </w:r>
            <w:r w:rsidR="00352726">
              <w:rPr>
                <w:sz w:val="20"/>
                <w:szCs w:val="20"/>
              </w:rPr>
              <w:t xml:space="preserve"> </w:t>
            </w:r>
            <w:r w:rsidR="00FC37F3" w:rsidRPr="00FC37F3">
              <w:rPr>
                <w:sz w:val="20"/>
                <w:szCs w:val="20"/>
              </w:rPr>
              <w:t>High Prosecutorial Council and High Judicial Council</w:t>
            </w:r>
            <w:r w:rsidR="00FC37F3">
              <w:rPr>
                <w:sz w:val="20"/>
                <w:szCs w:val="20"/>
              </w:rPr>
              <w:t>(</w:t>
            </w:r>
            <w:r w:rsidRPr="006746E9">
              <w:rPr>
                <w:sz w:val="20"/>
                <w:szCs w:val="20"/>
              </w:rPr>
              <w:t xml:space="preserve"> HPC and HJC</w:t>
            </w:r>
            <w:r w:rsidR="00FC37F3">
              <w:rPr>
                <w:sz w:val="20"/>
                <w:szCs w:val="20"/>
              </w:rPr>
              <w:t>)</w:t>
            </w:r>
            <w:r w:rsidRPr="006746E9">
              <w:rPr>
                <w:sz w:val="20"/>
                <w:szCs w:val="20"/>
              </w:rPr>
              <w:t xml:space="preserve">, as of March 2026, 2,658 </w:t>
            </w:r>
            <w:hyperlink r:id="rId10" w:history="1">
              <w:r w:rsidRPr="000D0B78">
                <w:rPr>
                  <w:rStyle w:val="Hyperlink"/>
                  <w:sz w:val="20"/>
                  <w:szCs w:val="20"/>
                </w:rPr>
                <w:t>judge</w:t>
              </w:r>
            </w:hyperlink>
            <w:r w:rsidR="000D0B78">
              <w:rPr>
                <w:sz w:val="20"/>
                <w:szCs w:val="20"/>
              </w:rPr>
              <w:t>s</w:t>
            </w:r>
            <w:r w:rsidRPr="006746E9">
              <w:rPr>
                <w:sz w:val="20"/>
                <w:szCs w:val="20"/>
              </w:rPr>
              <w:t xml:space="preserve">, 698 </w:t>
            </w:r>
            <w:hyperlink r:id="rId11" w:history="1">
              <w:r w:rsidRPr="000D0B78">
                <w:rPr>
                  <w:rStyle w:val="Hyperlink"/>
                  <w:sz w:val="20"/>
                  <w:szCs w:val="20"/>
                </w:rPr>
                <w:t>prosecutors</w:t>
              </w:r>
            </w:hyperlink>
            <w:r w:rsidRPr="006746E9">
              <w:rPr>
                <w:sz w:val="20"/>
                <w:szCs w:val="20"/>
              </w:rPr>
              <w:t xml:space="preserve">, and 64 chief prosecutors hold judicial functions in Serbia. According to systematization, Serbia should have 3,102 </w:t>
            </w:r>
            <w:hyperlink r:id="rId12" w:history="1">
              <w:r w:rsidRPr="000D0B78">
                <w:rPr>
                  <w:rStyle w:val="Hyperlink"/>
                  <w:sz w:val="20"/>
                  <w:szCs w:val="20"/>
                </w:rPr>
                <w:t>judges</w:t>
              </w:r>
            </w:hyperlink>
            <w:r w:rsidRPr="006746E9">
              <w:rPr>
                <w:sz w:val="20"/>
                <w:szCs w:val="20"/>
              </w:rPr>
              <w:t xml:space="preserve"> and 899 prosecutors.</w:t>
            </w:r>
          </w:p>
          <w:bookmarkEnd w:id="0"/>
          <w:p w14:paraId="6E92DAD1" w14:textId="69F06417" w:rsidR="003F3E46" w:rsidRPr="008B668C" w:rsidRDefault="006746E9" w:rsidP="006746E9">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Latn-RS"/>
              </w:rPr>
            </w:pPr>
            <w:r w:rsidRPr="006746E9">
              <w:rPr>
                <w:sz w:val="20"/>
                <w:szCs w:val="20"/>
              </w:rPr>
              <w:t xml:space="preserve">The HPC published its </w:t>
            </w:r>
            <w:hyperlink r:id="rId13" w:history="1">
              <w:r w:rsidRPr="00795BCA">
                <w:rPr>
                  <w:rStyle w:val="Hyperlink"/>
                  <w:sz w:val="20"/>
                  <w:szCs w:val="20"/>
                </w:rPr>
                <w:t>2025 Annual Report</w:t>
              </w:r>
            </w:hyperlink>
            <w:r w:rsidRPr="006746E9">
              <w:rPr>
                <w:sz w:val="20"/>
                <w:szCs w:val="20"/>
              </w:rPr>
              <w:t>, which states that during 2025:</w:t>
            </w:r>
            <w:r>
              <w:rPr>
                <w:sz w:val="20"/>
                <w:szCs w:val="20"/>
              </w:rPr>
              <w:t xml:space="preserve"> </w:t>
            </w:r>
            <w:r w:rsidR="00D90061">
              <w:rPr>
                <w:sz w:val="20"/>
                <w:szCs w:val="20"/>
              </w:rPr>
              <w:t>“</w:t>
            </w:r>
            <w:r w:rsidRPr="006746E9">
              <w:rPr>
                <w:sz w:val="20"/>
                <w:szCs w:val="20"/>
              </w:rPr>
              <w:t>A total of 146 judges were appointed, while 143 judges left office.</w:t>
            </w:r>
            <w:r>
              <w:rPr>
                <w:sz w:val="20"/>
                <w:szCs w:val="20"/>
              </w:rPr>
              <w:t xml:space="preserve"> </w:t>
            </w:r>
            <w:r w:rsidRPr="006746E9">
              <w:rPr>
                <w:sz w:val="20"/>
                <w:szCs w:val="20"/>
              </w:rPr>
              <w:t>Eight competitions were announced for 416 positions; 25 judges were appointed, and the remaining competitions are ongoing</w:t>
            </w:r>
            <w:r w:rsidR="000D0B78">
              <w:rPr>
                <w:sz w:val="20"/>
                <w:szCs w:val="20"/>
              </w:rPr>
              <w:t>”</w:t>
            </w:r>
            <w:r w:rsidRPr="006746E9">
              <w:rPr>
                <w:sz w:val="20"/>
                <w:szCs w:val="20"/>
              </w:rPr>
              <w:t>.</w:t>
            </w:r>
            <w:r>
              <w:rPr>
                <w:sz w:val="20"/>
                <w:szCs w:val="20"/>
              </w:rPr>
              <w:t xml:space="preserve"> </w:t>
            </w:r>
            <w:r w:rsidRPr="006746E9">
              <w:rPr>
                <w:sz w:val="20"/>
                <w:szCs w:val="20"/>
              </w:rPr>
              <w:t xml:space="preserve">The institutions responsible for appointing judicial officeholders, </w:t>
            </w:r>
            <w:r w:rsidRPr="006C164E">
              <w:rPr>
                <w:b/>
                <w:bCs/>
                <w:sz w:val="20"/>
                <w:szCs w:val="20"/>
              </w:rPr>
              <w:t>HPC and HJC</w:t>
            </w:r>
            <w:r w:rsidRPr="006746E9">
              <w:rPr>
                <w:sz w:val="20"/>
                <w:szCs w:val="20"/>
              </w:rPr>
              <w:t>, operate under effective obstruction in decision-making regarding new appointments of judges and public prosecutors.</w:t>
            </w:r>
            <w:r>
              <w:rPr>
                <w:sz w:val="20"/>
                <w:szCs w:val="20"/>
              </w:rPr>
              <w:t xml:space="preserve"> </w:t>
            </w:r>
            <w:r w:rsidR="003F3E46">
              <w:rPr>
                <w:sz w:val="20"/>
                <w:szCs w:val="20"/>
              </w:rPr>
              <w:t xml:space="preserve">Several cycles had been contested and complains to the Constitutional Court had been filed. </w:t>
            </w:r>
          </w:p>
          <w:p w14:paraId="1B1021A1" w14:textId="09EA65C2" w:rsidR="003F3E46" w:rsidRDefault="0095778D" w:rsidP="006746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95778D">
              <w:rPr>
                <w:sz w:val="20"/>
                <w:szCs w:val="20"/>
              </w:rPr>
              <w:t>These issues are primarily reflected in the bodies’ inability to make decisions on a regular and uninterrupted basis. In some instances, meetings could not be held due to a lack of quorum, while in others, decision-making was effectively blocked by institutional and procedural disagreements among council members.</w:t>
            </w:r>
            <w:r w:rsidR="002C38E4">
              <w:rPr>
                <w:sz w:val="20"/>
                <w:szCs w:val="20"/>
              </w:rPr>
              <w:t xml:space="preserve"> The l</w:t>
            </w:r>
            <w:r w:rsidR="003F3E46">
              <w:rPr>
                <w:sz w:val="20"/>
                <w:szCs w:val="20"/>
              </w:rPr>
              <w:t>atest level of</w:t>
            </w:r>
            <w:r w:rsidR="0099242E">
              <w:rPr>
                <w:sz w:val="20"/>
                <w:szCs w:val="20"/>
              </w:rPr>
              <w:t xml:space="preserve"> o</w:t>
            </w:r>
            <w:r w:rsidR="006746E9" w:rsidRPr="006746E9">
              <w:rPr>
                <w:sz w:val="20"/>
                <w:szCs w:val="20"/>
              </w:rPr>
              <w:t xml:space="preserve">bstruction in the appointment of prosecutors </w:t>
            </w:r>
            <w:r w:rsidR="00551B0E">
              <w:rPr>
                <w:sz w:val="20"/>
                <w:szCs w:val="20"/>
              </w:rPr>
              <w:t xml:space="preserve">is found </w:t>
            </w:r>
            <w:r w:rsidR="003F3E46">
              <w:rPr>
                <w:sz w:val="20"/>
                <w:szCs w:val="20"/>
              </w:rPr>
              <w:t xml:space="preserve">in the process of electing the members for High Prosecutorial Council from the prosecutor levels. The elections had been held on 23 December 2025. After the extensive legal fight between the institutions in charge of complaints, the elections were repeated in 4 polling stations on 25 January 2025. Several complaints are pending before Constitutional Court at this moment. </w:t>
            </w:r>
          </w:p>
          <w:p w14:paraId="7629EF24" w14:textId="408F7D99" w:rsidR="006746E9" w:rsidRPr="006746E9" w:rsidRDefault="003F3E46" w:rsidP="006746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What has  indirectly influence</w:t>
            </w:r>
            <w:r w:rsidR="00F27AFE">
              <w:rPr>
                <w:sz w:val="20"/>
                <w:szCs w:val="20"/>
              </w:rPr>
              <w:t>d</w:t>
            </w:r>
            <w:r>
              <w:rPr>
                <w:sz w:val="20"/>
                <w:szCs w:val="20"/>
              </w:rPr>
              <w:t xml:space="preserve"> the process of elections of new prosecutors is first and foremost the misuse of the legal solution under the</w:t>
            </w:r>
            <w:r w:rsidR="006746E9" w:rsidRPr="006746E9">
              <w:rPr>
                <w:sz w:val="20"/>
                <w:szCs w:val="20"/>
              </w:rPr>
              <w:t xml:space="preserve"> </w:t>
            </w:r>
            <w:hyperlink r:id="rId14" w:history="1">
              <w:r w:rsidR="006746E9" w:rsidRPr="0095778D">
                <w:rPr>
                  <w:rStyle w:val="Hyperlink"/>
                  <w:sz w:val="20"/>
                  <w:szCs w:val="20"/>
                </w:rPr>
                <w:t>Article 40</w:t>
              </w:r>
            </w:hyperlink>
            <w:r w:rsidR="006746E9" w:rsidRPr="006746E9">
              <w:rPr>
                <w:sz w:val="20"/>
                <w:szCs w:val="20"/>
              </w:rPr>
              <w:t xml:space="preserve"> of the Law on the High Council of Prosecutors, which allows objections</w:t>
            </w:r>
            <w:r>
              <w:rPr>
                <w:sz w:val="20"/>
                <w:szCs w:val="20"/>
              </w:rPr>
              <w:t>:</w:t>
            </w:r>
          </w:p>
          <w:p w14:paraId="36441503" w14:textId="2AF8C073" w:rsidR="006746E9" w:rsidRDefault="006746E9" w:rsidP="006746E9">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C164E">
              <w:rPr>
                <w:i/>
                <w:iCs/>
                <w:sz w:val="20"/>
                <w:szCs w:val="20"/>
              </w:rPr>
              <w:t>“A holder of a public prosecutorial function who is registered on the list of officeholders and who voted at a polling station has the right, through the Election Commission, to submit an objection to the Council due to a violation of electoral rights at that polling station within 24 hours from the time the violation occurred. The Council decides on the objection within 48 hours of receipt and delivers it to the complainant through the Election Commission. If the Council does not issue a decision within the prescribed period, the objection is considered accepted. If the Council accepts the objection, the electoral action or appointment is annulled, and the electoral action or appointment is repeated within eight days.”</w:t>
            </w:r>
          </w:p>
          <w:p w14:paraId="571B70B1" w14:textId="216F77A4" w:rsidR="0095778D" w:rsidRPr="008B668C" w:rsidRDefault="0095778D" w:rsidP="0095778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8B668C">
              <w:rPr>
                <w:sz w:val="20"/>
                <w:szCs w:val="20"/>
              </w:rPr>
              <w:lastRenderedPageBreak/>
              <w:t>Given that the main problem in the prosecutor selection process was the lack of a quorum (which was absent at eight out of eleven sessions), this provision of the law, combined with the practice of blocking decision-making— by not ensuring the presence required for a</w:t>
            </w:r>
            <w:r>
              <w:rPr>
                <w:sz w:val="20"/>
                <w:szCs w:val="20"/>
              </w:rPr>
              <w:t xml:space="preserve"> quorum</w:t>
            </w:r>
            <w:r w:rsidRPr="008B668C">
              <w:rPr>
                <w:sz w:val="20"/>
                <w:szCs w:val="20"/>
              </w:rPr>
              <w:t>—made it impossible for the High Prosecutorial Council to decide on complaints. As a result, the process was trapped in a vicious cycle of repeated elections.</w:t>
            </w:r>
          </w:p>
          <w:p w14:paraId="7C7E77C8" w14:textId="52BF274B" w:rsidR="0095778D" w:rsidRPr="008B668C" w:rsidRDefault="0095778D" w:rsidP="0095778D">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8B668C">
              <w:rPr>
                <w:sz w:val="20"/>
                <w:szCs w:val="20"/>
              </w:rPr>
              <w:t>In combination with the newly adopted set of judicial laws, this situation not only obstructed the selection process but also negatively affected the work of serving (seconded) prosecutors in various prosecutor’s offices, which was particularly concerning in the case of the Special Prosecutor’s Office for Organized Crime.</w:t>
            </w:r>
          </w:p>
          <w:p w14:paraId="765DBEEC" w14:textId="004E8618" w:rsidR="006746E9" w:rsidRPr="006746E9" w:rsidRDefault="006746E9" w:rsidP="006746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746E9">
              <w:rPr>
                <w:sz w:val="20"/>
                <w:szCs w:val="20"/>
              </w:rPr>
              <w:t>The Law on the</w:t>
            </w:r>
            <w:r w:rsidR="003A6A7E">
              <w:rPr>
                <w:sz w:val="20"/>
                <w:szCs w:val="20"/>
              </w:rPr>
              <w:t xml:space="preserve"> High Judicial Council</w:t>
            </w:r>
            <w:r w:rsidRPr="006746E9">
              <w:rPr>
                <w:sz w:val="20"/>
                <w:szCs w:val="20"/>
              </w:rPr>
              <w:t xml:space="preserve"> provides </w:t>
            </w:r>
            <w:r w:rsidR="00C6153C">
              <w:rPr>
                <w:sz w:val="20"/>
                <w:szCs w:val="20"/>
              </w:rPr>
              <w:t xml:space="preserve">for </w:t>
            </w:r>
            <w:r w:rsidRPr="006746E9">
              <w:rPr>
                <w:sz w:val="20"/>
                <w:szCs w:val="20"/>
              </w:rPr>
              <w:t xml:space="preserve">a similar possibility for objection, though it has not been used </w:t>
            </w:r>
            <w:r w:rsidR="00FF1236">
              <w:rPr>
                <w:sz w:val="20"/>
                <w:szCs w:val="20"/>
              </w:rPr>
              <w:t>as in the previous</w:t>
            </w:r>
            <w:r w:rsidR="00A705E6">
              <w:rPr>
                <w:sz w:val="20"/>
                <w:szCs w:val="20"/>
              </w:rPr>
              <w:t>ly described</w:t>
            </w:r>
            <w:r w:rsidR="00FF1236">
              <w:rPr>
                <w:sz w:val="20"/>
                <w:szCs w:val="20"/>
              </w:rPr>
              <w:t xml:space="preserve"> scenario. The election processes of judges were mainly obstructed </w:t>
            </w:r>
            <w:r w:rsidR="00A705E6">
              <w:rPr>
                <w:sz w:val="20"/>
                <w:szCs w:val="20"/>
              </w:rPr>
              <w:t xml:space="preserve">through </w:t>
            </w:r>
            <w:r w:rsidR="00FF1236">
              <w:rPr>
                <w:sz w:val="20"/>
                <w:szCs w:val="20"/>
              </w:rPr>
              <w:t>the lack of quorum</w:t>
            </w:r>
            <w:r w:rsidR="00A705E6">
              <w:rPr>
                <w:sz w:val="20"/>
                <w:szCs w:val="20"/>
              </w:rPr>
              <w:t>,</w:t>
            </w:r>
            <w:r w:rsidR="00FF1236">
              <w:rPr>
                <w:sz w:val="20"/>
                <w:szCs w:val="20"/>
              </w:rPr>
              <w:t xml:space="preserve"> as previously explained. </w:t>
            </w:r>
            <w:r w:rsidRPr="006746E9">
              <w:rPr>
                <w:sz w:val="20"/>
                <w:szCs w:val="20"/>
              </w:rPr>
              <w:t xml:space="preserve">The consequences of this situation are increasingly </w:t>
            </w:r>
            <w:r w:rsidR="00F059E7">
              <w:rPr>
                <w:sz w:val="20"/>
                <w:szCs w:val="20"/>
              </w:rPr>
              <w:t>visible</w:t>
            </w:r>
            <w:r w:rsidRPr="006746E9">
              <w:rPr>
                <w:sz w:val="20"/>
                <w:szCs w:val="20"/>
              </w:rPr>
              <w:t xml:space="preserve">, </w:t>
            </w:r>
            <w:r w:rsidR="00465912">
              <w:rPr>
                <w:sz w:val="20"/>
                <w:szCs w:val="20"/>
              </w:rPr>
              <w:t>especially when coupled with</w:t>
            </w:r>
            <w:r w:rsidR="00465912" w:rsidRPr="006746E9">
              <w:rPr>
                <w:sz w:val="20"/>
                <w:szCs w:val="20"/>
              </w:rPr>
              <w:t xml:space="preserve"> </w:t>
            </w:r>
            <w:r w:rsidRPr="006746E9">
              <w:rPr>
                <w:sz w:val="20"/>
                <w:szCs w:val="20"/>
              </w:rPr>
              <w:t>the natural attrition of judicial personnel. In the future, a significant number of judges will retire, and under the current operation of the judicial councils, a reduction in the number of officeholders is inevitable.</w:t>
            </w:r>
          </w:p>
          <w:p w14:paraId="73D9E71D" w14:textId="3C86E83B" w:rsidR="00D66A75" w:rsidRPr="006746E9" w:rsidRDefault="006746E9" w:rsidP="006746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6746E9">
              <w:rPr>
                <w:sz w:val="20"/>
                <w:szCs w:val="20"/>
              </w:rPr>
              <w:t xml:space="preserve">Continued institutional obstruction in the work of the </w:t>
            </w:r>
            <w:r>
              <w:rPr>
                <w:sz w:val="20"/>
                <w:szCs w:val="20"/>
              </w:rPr>
              <w:t>HPC and HJC</w:t>
            </w:r>
            <w:r w:rsidRPr="006746E9">
              <w:rPr>
                <w:sz w:val="20"/>
                <w:szCs w:val="20"/>
              </w:rPr>
              <w:t xml:space="preserve"> represents a serious challenge to the overall functioning of the judicial system. Without a stable and functional decision-making mechanism in these bodies, the appointment process for new judges and public prosecutors will remain slow or completely stalled, which could have far-reaching negative consequences for both the judiciary and citizens.</w:t>
            </w:r>
            <w:r>
              <w:rPr>
                <w:sz w:val="20"/>
                <w:szCs w:val="20"/>
              </w:rPr>
              <w:t xml:space="preserve"> </w:t>
            </w:r>
            <w:r w:rsidRPr="006746E9">
              <w:rPr>
                <w:sz w:val="20"/>
                <w:szCs w:val="20"/>
              </w:rPr>
              <w:t>A prerequisite for completing this step</w:t>
            </w:r>
            <w:r w:rsidR="00A93E8B">
              <w:rPr>
                <w:sz w:val="20"/>
                <w:szCs w:val="20"/>
              </w:rPr>
              <w:t>, therefore,</w:t>
            </w:r>
            <w:r w:rsidRPr="006746E9">
              <w:rPr>
                <w:sz w:val="20"/>
                <w:szCs w:val="20"/>
              </w:rPr>
              <w:t xml:space="preserve"> is ensuring proper conditions for the functioning of these councils.</w:t>
            </w:r>
            <w:r>
              <w:rPr>
                <w:sz w:val="20"/>
                <w:szCs w:val="20"/>
              </w:rPr>
              <w:t xml:space="preserve"> </w:t>
            </w:r>
            <w:r w:rsidRPr="006746E9">
              <w:rPr>
                <w:sz w:val="20"/>
                <w:szCs w:val="20"/>
              </w:rPr>
              <w:t>Additionally, few young professionals choose to join the judiciary or prosecution due to low salaries, pressure, and slow career progression.</w:t>
            </w:r>
          </w:p>
          <w:p w14:paraId="5227D27F" w14:textId="77777777" w:rsidR="006D57A3" w:rsidRP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r w:rsidR="006D57A3" w:rsidRPr="006D57A3" w14:paraId="430223DF"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7D0F81A" w14:textId="77777777" w:rsidR="006D57A3" w:rsidRPr="00767548" w:rsidRDefault="006D57A3" w:rsidP="006D57A3">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767548">
              <w:rPr>
                <w:rFonts w:ascii="Aptos" w:eastAsia="Times New Roman" w:hAnsi="Aptos" w:cs="Times New Roman"/>
                <w:color w:val="FFFFFF" w:themeColor="background1"/>
                <w:kern w:val="0"/>
                <w:sz w:val="20"/>
                <w:szCs w:val="20"/>
                <w:lang w:eastAsia="en-GB"/>
                <w14:ligatures w14:val="none"/>
              </w:rPr>
              <w:lastRenderedPageBreak/>
              <w:t>Analyse</w:t>
            </w:r>
            <w:proofErr w:type="spellEnd"/>
            <w:r w:rsidRPr="00767548">
              <w:rPr>
                <w:rFonts w:ascii="Aptos" w:eastAsia="Times New Roman" w:hAnsi="Aptos" w:cs="Times New Roman"/>
                <w:color w:val="FFFFFF" w:themeColor="background1"/>
                <w:kern w:val="0"/>
                <w:sz w:val="20"/>
                <w:szCs w:val="20"/>
                <w:lang w:eastAsia="en-GB"/>
                <w14:ligatures w14:val="none"/>
              </w:rPr>
              <w:t xml:space="preserve"> how key principles of RGF were respected in the reform step implementation</w:t>
            </w:r>
          </w:p>
        </w:tc>
        <w:tc>
          <w:tcPr>
            <w:tcW w:w="6753" w:type="dxa"/>
          </w:tcPr>
          <w:p w14:paraId="36CADF27" w14:textId="77777777" w:rsidR="006D57A3" w:rsidRP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D57A3">
              <w:rPr>
                <w:i/>
                <w:iCs/>
                <w:sz w:val="20"/>
                <w:szCs w:val="20"/>
              </w:rPr>
              <w:t xml:space="preserve">How transparent has the reform step implementation been? How has civil society and the wider public been informed about it? What data and information, including key documents, have been made publicly available? </w:t>
            </w:r>
          </w:p>
          <w:p w14:paraId="1FDFAF9D" w14:textId="77777777" w:rsidR="006D57A3" w:rsidRP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D57A3">
              <w:rPr>
                <w:i/>
                <w:iCs/>
                <w:sz w:val="20"/>
                <w:szCs w:val="20"/>
              </w:rPr>
              <w:t xml:space="preserve">How inclusive was the implementation process? Has the implementation of the reform step allowed for participation of interested stakeholders, especially civil society </w:t>
            </w:r>
            <w:proofErr w:type="spellStart"/>
            <w:r w:rsidRPr="006D57A3">
              <w:rPr>
                <w:i/>
                <w:iCs/>
                <w:sz w:val="20"/>
                <w:szCs w:val="20"/>
              </w:rPr>
              <w:t>organisations</w:t>
            </w:r>
            <w:proofErr w:type="spellEnd"/>
            <w:r w:rsidRPr="006D57A3">
              <w:rPr>
                <w:i/>
                <w:iCs/>
                <w:sz w:val="20"/>
                <w:szCs w:val="20"/>
              </w:rPr>
              <w:t xml:space="preserve"> and – where applicable – business community? How was such participation ensured? What were the issues regarding their participation, if any? </w:t>
            </w:r>
          </w:p>
          <w:p w14:paraId="6360E8B5" w14:textId="77777777" w:rsidR="006D57A3" w:rsidRP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D57A3">
              <w:rPr>
                <w:i/>
                <w:iCs/>
                <w:sz w:val="20"/>
                <w:szCs w:val="20"/>
              </w:rPr>
              <w:t xml:space="preserve">Depending on the reform step, provide an analysis of how other key RGF principles – apart from transparency and inclusivity </w:t>
            </w:r>
            <w:proofErr w:type="spellStart"/>
            <w:r w:rsidRPr="006D57A3">
              <w:rPr>
                <w:i/>
                <w:iCs/>
                <w:sz w:val="20"/>
                <w:szCs w:val="20"/>
              </w:rPr>
              <w:t>analysed</w:t>
            </w:r>
            <w:proofErr w:type="spellEnd"/>
            <w:r w:rsidRPr="006D57A3">
              <w:rPr>
                <w:i/>
                <w:iCs/>
                <w:sz w:val="20"/>
                <w:szCs w:val="20"/>
              </w:rPr>
              <w:t xml:space="preserve"> above – were respected in its implementation, as applicable: sound financial management, equal treatment, non-discrimination and proportionality for intended purpose. </w:t>
            </w:r>
          </w:p>
          <w:p w14:paraId="17CC5D52" w14:textId="77777777" w:rsid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D57A3">
              <w:rPr>
                <w:i/>
                <w:iCs/>
                <w:sz w:val="20"/>
                <w:szCs w:val="20"/>
              </w:rPr>
              <w:t>Please provide references wherever possible.</w:t>
            </w:r>
          </w:p>
          <w:p w14:paraId="1CC0B846" w14:textId="77777777" w:rsidR="00446DE9" w:rsidRDefault="00446DE9" w:rsidP="006D57A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p>
          <w:p w14:paraId="0150AB49" w14:textId="05D0E1EF" w:rsidR="00BD2C79" w:rsidRPr="00BD2C79" w:rsidRDefault="00BD2C79" w:rsidP="00BD2C7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D2C79">
              <w:rPr>
                <w:sz w:val="20"/>
                <w:szCs w:val="20"/>
              </w:rPr>
              <w:t>The process of electing judges and prosecutors in Serbia is governed by the Constitution and the Law on Judges, along with the Law on the High Judicial Council and related regulations. These legal frameworks establish principles of transparency, objectivity, and merit-based selection, and assign a key role to the High Judicial Council in conducting the procedure.</w:t>
            </w:r>
          </w:p>
          <w:p w14:paraId="1E31FD9A" w14:textId="0B6FFCE8" w:rsidR="00BD2C79" w:rsidRPr="00BD2C79" w:rsidRDefault="00BD2C79" w:rsidP="00BD2C7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D2C79">
              <w:rPr>
                <w:sz w:val="20"/>
                <w:szCs w:val="20"/>
              </w:rPr>
              <w:t xml:space="preserve">In practice, transparency is ensured through public calls for candidates, defined selection criteria, and published decisions. However, some stages of the process </w:t>
            </w:r>
            <w:hyperlink r:id="rId15" w:history="1">
              <w:r w:rsidRPr="00BD2C79">
                <w:rPr>
                  <w:rStyle w:val="Hyperlink"/>
                  <w:sz w:val="20"/>
                  <w:szCs w:val="20"/>
                </w:rPr>
                <w:t>may not be fully public</w:t>
              </w:r>
            </w:hyperlink>
            <w:r w:rsidRPr="00BD2C79">
              <w:rPr>
                <w:sz w:val="20"/>
                <w:szCs w:val="20"/>
              </w:rPr>
              <w:t>, primarily to protect personal data and ensure the integrity of proceedings.</w:t>
            </w:r>
          </w:p>
          <w:p w14:paraId="58EEC3EF" w14:textId="45FC968A" w:rsidR="00446DE9" w:rsidRPr="00446DE9" w:rsidRDefault="00BD2C79" w:rsidP="007F61A7">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BD2C79">
              <w:rPr>
                <w:sz w:val="20"/>
                <w:szCs w:val="20"/>
              </w:rPr>
              <w:t xml:space="preserve">Although the </w:t>
            </w:r>
            <w:hyperlink r:id="rId16" w:history="1">
              <w:r w:rsidRPr="007F61A7">
                <w:rPr>
                  <w:rStyle w:val="Hyperlink"/>
                  <w:sz w:val="20"/>
                  <w:szCs w:val="20"/>
                </w:rPr>
                <w:t>legal</w:t>
              </w:r>
            </w:hyperlink>
            <w:r w:rsidRPr="00BD2C79">
              <w:rPr>
                <w:sz w:val="20"/>
                <w:szCs w:val="20"/>
              </w:rPr>
              <w:t xml:space="preserve"> </w:t>
            </w:r>
            <w:r w:rsidR="007F61A7">
              <w:rPr>
                <w:sz w:val="20"/>
                <w:szCs w:val="20"/>
              </w:rPr>
              <w:t xml:space="preserve">frame work </w:t>
            </w:r>
            <w:r w:rsidRPr="00BD2C79">
              <w:rPr>
                <w:sz w:val="20"/>
                <w:szCs w:val="20"/>
              </w:rPr>
              <w:t>provides for transparency and public oversight, monitoring reports indicate that its implementation is not always consistent. Challenges remain, particularly regarding the availability of information, the level of reasoning in decisions, and the overall openness of the process</w:t>
            </w:r>
            <w:r w:rsidR="008D23AF">
              <w:rPr>
                <w:sz w:val="20"/>
                <w:szCs w:val="20"/>
              </w:rPr>
              <w:t xml:space="preserve"> </w:t>
            </w:r>
            <w:r w:rsidR="008D23AF" w:rsidRPr="008D23AF">
              <w:rPr>
                <w:sz w:val="20"/>
                <w:szCs w:val="20"/>
              </w:rPr>
              <w:t>There is no information available to confirm whether the principles of equal treatment and non-discrimination were adhered to in the selection procedure</w:t>
            </w:r>
          </w:p>
          <w:p w14:paraId="28F46637" w14:textId="5BC1C1D3" w:rsidR="00105EED" w:rsidRPr="006C164E" w:rsidRDefault="00105EED" w:rsidP="007F61A7">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p>
        </w:tc>
      </w:tr>
      <w:tr w:rsidR="006D57A3" w:rsidRPr="006D57A3" w14:paraId="73C1E133"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426FE53" w14:textId="77777777" w:rsidR="006D57A3" w:rsidRPr="00767548" w:rsidRDefault="006D57A3" w:rsidP="006D57A3">
            <w:pPr>
              <w:spacing w:before="120" w:after="120"/>
              <w:rPr>
                <w:rFonts w:ascii="Aptos" w:eastAsia="Times New Roman" w:hAnsi="Aptos" w:cs="Times New Roman"/>
                <w:color w:val="FFFFFF" w:themeColor="background1"/>
                <w:kern w:val="0"/>
                <w:sz w:val="20"/>
                <w:szCs w:val="20"/>
                <w:lang w:eastAsia="en-GB"/>
                <w14:ligatures w14:val="none"/>
              </w:rPr>
            </w:pPr>
            <w:r w:rsidRPr="00767548">
              <w:rPr>
                <w:rFonts w:ascii="Aptos" w:eastAsia="Times New Roman" w:hAnsi="Aptos" w:cs="Times New Roman"/>
                <w:color w:val="FFFFFF" w:themeColor="background1"/>
                <w:kern w:val="0"/>
                <w:sz w:val="20"/>
                <w:szCs w:val="20"/>
                <w:lang w:eastAsia="en-GB"/>
                <w14:ligatures w14:val="none"/>
              </w:rPr>
              <w:lastRenderedPageBreak/>
              <w:t>Public availability of evidence of implementation</w:t>
            </w:r>
          </w:p>
        </w:tc>
        <w:tc>
          <w:tcPr>
            <w:tcW w:w="6753" w:type="dxa"/>
          </w:tcPr>
          <w:p w14:paraId="26F7879A" w14:textId="77777777" w:rsid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lang w:val="sr-Cyrl-RS"/>
              </w:rPr>
            </w:pPr>
            <w:r w:rsidRPr="006D57A3">
              <w:rPr>
                <w:i/>
                <w:iCs/>
                <w:sz w:val="20"/>
                <w:szCs w:val="20"/>
              </w:rPr>
              <w:t>Has the final source of verification (as per Reform Agenda) been made publicly available? If yes, please list the source (provide link) and date.</w:t>
            </w:r>
          </w:p>
          <w:p w14:paraId="769A3045" w14:textId="6AD9630A" w:rsidR="00C659AB" w:rsidRDefault="00C659AB" w:rsidP="006D57A3">
            <w:pPr>
              <w:spacing w:before="120" w:after="120"/>
              <w:cnfStyle w:val="000000000000" w:firstRow="0" w:lastRow="0" w:firstColumn="0" w:lastColumn="0" w:oddVBand="0" w:evenVBand="0" w:oddHBand="0" w:evenHBand="0" w:firstRowFirstColumn="0" w:firstRowLastColumn="0" w:lastRowFirstColumn="0" w:lastRowLastColumn="0"/>
              <w:rPr>
                <w:sz w:val="20"/>
                <w:szCs w:val="20"/>
                <w:lang w:val="sr-Cyrl-RS"/>
              </w:rPr>
            </w:pPr>
            <w:hyperlink r:id="rId17" w:history="1">
              <w:r w:rsidRPr="00C96DB5">
                <w:rPr>
                  <w:rStyle w:val="Hyperlink"/>
                  <w:sz w:val="20"/>
                  <w:szCs w:val="20"/>
                  <w:lang w:val="sr-Cyrl-RS"/>
                </w:rPr>
                <w:t>https://vss.sud.rs/</w:t>
              </w:r>
            </w:hyperlink>
          </w:p>
          <w:p w14:paraId="267864DB" w14:textId="582DF5A2" w:rsidR="006D57A3" w:rsidRPr="00C85DD2" w:rsidRDefault="00C659AB" w:rsidP="006D57A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hyperlink r:id="rId18" w:history="1">
              <w:r w:rsidRPr="00C96DB5">
                <w:rPr>
                  <w:rStyle w:val="Hyperlink"/>
                  <w:sz w:val="20"/>
                  <w:szCs w:val="20"/>
                  <w:lang w:val="sr-Cyrl-RS"/>
                </w:rPr>
                <w:t>https://vst.jt.rs/</w:t>
              </w:r>
            </w:hyperlink>
          </w:p>
        </w:tc>
      </w:tr>
      <w:tr w:rsidR="006D57A3" w:rsidRPr="006D57A3" w14:paraId="59888288"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6FE951D8" w14:textId="77777777" w:rsidR="006D57A3" w:rsidRPr="00767548" w:rsidRDefault="006D57A3" w:rsidP="006D57A3">
            <w:pPr>
              <w:spacing w:before="120" w:after="120"/>
              <w:rPr>
                <w:rFonts w:ascii="Aptos" w:eastAsia="Times New Roman" w:hAnsi="Aptos" w:cs="Times New Roman"/>
                <w:color w:val="FFFFFF" w:themeColor="background1"/>
                <w:kern w:val="0"/>
                <w:sz w:val="20"/>
                <w:szCs w:val="20"/>
                <w:lang w:eastAsia="en-GB"/>
                <w14:ligatures w14:val="none"/>
              </w:rPr>
            </w:pPr>
            <w:proofErr w:type="spellStart"/>
            <w:r w:rsidRPr="00767548">
              <w:rPr>
                <w:rFonts w:ascii="Aptos" w:eastAsia="Times New Roman" w:hAnsi="Aptos" w:cs="Times New Roman"/>
                <w:color w:val="FFFFFF" w:themeColor="background1"/>
                <w:kern w:val="0"/>
                <w:sz w:val="20"/>
                <w:szCs w:val="20"/>
                <w:lang w:eastAsia="en-GB"/>
                <w14:ligatures w14:val="none"/>
              </w:rPr>
              <w:t>Analyse</w:t>
            </w:r>
            <w:proofErr w:type="spellEnd"/>
            <w:r w:rsidRPr="00767548">
              <w:rPr>
                <w:rFonts w:ascii="Aptos" w:eastAsia="Times New Roman" w:hAnsi="Aptos" w:cs="Times New Roman"/>
                <w:color w:val="FFFFFF" w:themeColor="background1"/>
                <w:kern w:val="0"/>
                <w:sz w:val="20"/>
                <w:szCs w:val="20"/>
                <w:lang w:eastAsia="en-GB"/>
                <w14:ligatures w14:val="none"/>
              </w:rPr>
              <w:t xml:space="preserve"> quality of the final output of the reform step</w:t>
            </w:r>
          </w:p>
        </w:tc>
        <w:tc>
          <w:tcPr>
            <w:tcW w:w="6753" w:type="dxa"/>
          </w:tcPr>
          <w:p w14:paraId="64F5B018" w14:textId="77777777" w:rsidR="006D57A3" w:rsidRP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D57A3">
              <w:rPr>
                <w:i/>
                <w:iCs/>
                <w:sz w:val="20"/>
                <w:szCs w:val="20"/>
              </w:rPr>
              <w:t xml:space="preserve">To what extent does the final output of this reform step respect the applicable EU membership requirements/principles/standards? </w:t>
            </w:r>
          </w:p>
          <w:p w14:paraId="2BB8D344" w14:textId="158CBBCD" w:rsidR="008B668C" w:rsidRPr="008B668C" w:rsidRDefault="008B668C" w:rsidP="006D57A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8B668C">
              <w:rPr>
                <w:sz w:val="20"/>
                <w:szCs w:val="20"/>
              </w:rPr>
              <w:t>Increasing the number of judges and prosecutors is essential because it ensures timely and fair access to justice for citizens, reduces overburdening that can lead to inefficiency or corruption, and strengthens the independence of the judiciary. It is also a key requirement for EU integration, as sufficient and competent judicial staff is necessary to meet EU standards for efficiency, transparency, and the rule of law. Processes that block or delay the appointment of judges and prosecutors not only prevent these goals from being met, but actively push Serbia further away from achieving them.</w:t>
            </w:r>
          </w:p>
          <w:p w14:paraId="756FB53B" w14:textId="77777777" w:rsidR="006D57A3" w:rsidRP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p>
        </w:tc>
      </w:tr>
    </w:tbl>
    <w:p w14:paraId="65047D09" w14:textId="77777777" w:rsidR="006D57A3" w:rsidRPr="006D57A3" w:rsidRDefault="006D57A3" w:rsidP="006D57A3">
      <w:pPr>
        <w:spacing w:after="0" w:line="240" w:lineRule="auto"/>
        <w:rPr>
          <w:sz w:val="24"/>
          <w:szCs w:val="24"/>
          <w:lang w:val="en-US"/>
        </w:rPr>
      </w:pPr>
    </w:p>
    <w:p w14:paraId="783DB61B" w14:textId="77777777" w:rsidR="006D57A3" w:rsidRPr="006D57A3" w:rsidRDefault="006D57A3" w:rsidP="006D57A3">
      <w:pPr>
        <w:keepNext/>
        <w:keepLines/>
        <w:numPr>
          <w:ilvl w:val="0"/>
          <w:numId w:val="1"/>
        </w:numPr>
        <w:spacing w:before="360" w:after="80" w:line="240" w:lineRule="auto"/>
        <w:outlineLvl w:val="0"/>
        <w:rPr>
          <w:rFonts w:asciiTheme="majorHAnsi" w:eastAsiaTheme="majorEastAsia" w:hAnsiTheme="majorHAnsi" w:cstheme="majorBidi"/>
          <w:color w:val="2F5496" w:themeColor="accent1" w:themeShade="BF"/>
          <w:sz w:val="40"/>
          <w:szCs w:val="40"/>
        </w:rPr>
      </w:pPr>
      <w:r w:rsidRPr="006D57A3">
        <w:rPr>
          <w:rFonts w:asciiTheme="majorHAnsi" w:eastAsiaTheme="majorEastAsia" w:hAnsiTheme="majorHAnsi" w:cstheme="majorBidi"/>
          <w:color w:val="2F5496" w:themeColor="accent1" w:themeShade="BF"/>
          <w:sz w:val="40"/>
          <w:szCs w:val="40"/>
        </w:rPr>
        <w:t>Final assessment</w:t>
      </w:r>
    </w:p>
    <w:p w14:paraId="728022F7" w14:textId="77777777" w:rsidR="006D57A3" w:rsidRPr="006D57A3" w:rsidRDefault="006D57A3" w:rsidP="006D57A3">
      <w:pPr>
        <w:spacing w:after="0" w:line="240" w:lineRule="auto"/>
        <w:rPr>
          <w:sz w:val="24"/>
          <w:szCs w:val="24"/>
        </w:rPr>
      </w:pPr>
    </w:p>
    <w:tbl>
      <w:tblPr>
        <w:tblStyle w:val="GridTable1Light"/>
        <w:tblW w:w="0" w:type="auto"/>
        <w:tblLook w:val="0480" w:firstRow="0" w:lastRow="0" w:firstColumn="1" w:lastColumn="0" w:noHBand="0" w:noVBand="1"/>
      </w:tblPr>
      <w:tblGrid>
        <w:gridCol w:w="2263"/>
        <w:gridCol w:w="6753"/>
      </w:tblGrid>
      <w:tr w:rsidR="006D57A3" w:rsidRPr="006D57A3" w14:paraId="3841758E"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38CA52FE" w14:textId="2C58BB35" w:rsidR="006D57A3" w:rsidRPr="00767548" w:rsidRDefault="006D57A3" w:rsidP="006D57A3">
            <w:pPr>
              <w:spacing w:before="60" w:after="60"/>
              <w:rPr>
                <w:color w:val="FFFFFF" w:themeColor="background1"/>
                <w:sz w:val="20"/>
                <w:szCs w:val="20"/>
              </w:rPr>
            </w:pPr>
            <w:r w:rsidRPr="00767548">
              <w:rPr>
                <w:color w:val="FFFFFF" w:themeColor="background1"/>
                <w:sz w:val="20"/>
                <w:szCs w:val="20"/>
              </w:rPr>
              <w:t>Assess formal achievement</w:t>
            </w:r>
          </w:p>
        </w:tc>
        <w:tc>
          <w:tcPr>
            <w:tcW w:w="6753" w:type="dxa"/>
          </w:tcPr>
          <w:p w14:paraId="303D3C5C" w14:textId="4351E378" w:rsidR="006D57A3" w:rsidRPr="006D57A3" w:rsidRDefault="00E77C1B" w:rsidP="006D57A3">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E77C1B">
              <w:rPr>
                <w:b/>
                <w:bCs/>
                <w:sz w:val="20"/>
                <w:szCs w:val="20"/>
              </w:rPr>
              <w:t>Not achieved</w:t>
            </w:r>
          </w:p>
        </w:tc>
      </w:tr>
      <w:tr w:rsidR="006D57A3" w:rsidRPr="006D57A3" w14:paraId="693E42A2" w14:textId="77777777" w:rsidTr="00314DB3">
        <w:tc>
          <w:tcPr>
            <w:cnfStyle w:val="001000000000" w:firstRow="0" w:lastRow="0" w:firstColumn="1" w:lastColumn="0" w:oddVBand="0" w:evenVBand="0" w:oddHBand="0" w:evenHBand="0" w:firstRowFirstColumn="0" w:firstRowLastColumn="0" w:lastRowFirstColumn="0" w:lastRowLastColumn="0"/>
            <w:tcW w:w="2263" w:type="dxa"/>
            <w:shd w:val="clear" w:color="auto" w:fill="44546A" w:themeFill="text2"/>
          </w:tcPr>
          <w:p w14:paraId="4247A426" w14:textId="77777777" w:rsidR="006D57A3" w:rsidRPr="00767548" w:rsidRDefault="006D57A3" w:rsidP="006D57A3">
            <w:pPr>
              <w:spacing w:before="60" w:after="60"/>
              <w:rPr>
                <w:color w:val="FFFFFF" w:themeColor="background1"/>
                <w:sz w:val="20"/>
                <w:szCs w:val="20"/>
              </w:rPr>
            </w:pPr>
            <w:r w:rsidRPr="00767548">
              <w:rPr>
                <w:color w:val="FFFFFF" w:themeColor="background1"/>
                <w:sz w:val="20"/>
                <w:szCs w:val="20"/>
              </w:rPr>
              <w:t>Elaboration of final assessment</w:t>
            </w:r>
          </w:p>
        </w:tc>
        <w:tc>
          <w:tcPr>
            <w:tcW w:w="6753" w:type="dxa"/>
          </w:tcPr>
          <w:p w14:paraId="51711E4B" w14:textId="77777777" w:rsidR="006D57A3" w:rsidRPr="006D57A3" w:rsidRDefault="006D57A3" w:rsidP="006D57A3">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D57A3">
              <w:rPr>
                <w:i/>
                <w:iCs/>
                <w:sz w:val="20"/>
                <w:szCs w:val="20"/>
              </w:rPr>
              <w:t xml:space="preserve">Provide a brief and to-the-point elaboration of your final assessment. </w:t>
            </w:r>
          </w:p>
          <w:p w14:paraId="4B4357D4" w14:textId="02DA7C73" w:rsidR="004F3769" w:rsidRDefault="00E77C1B" w:rsidP="006D57A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E77C1B">
              <w:rPr>
                <w:sz w:val="20"/>
                <w:szCs w:val="20"/>
              </w:rPr>
              <w:t xml:space="preserve">The baseline figures from the Reform Agenda are 2,718 judges and 689 public prosecutors. According to data from the HPC and HJC, as of March 2026, 2,658 </w:t>
            </w:r>
            <w:proofErr w:type="gramStart"/>
            <w:r w:rsidRPr="00E77C1B">
              <w:rPr>
                <w:sz w:val="20"/>
                <w:szCs w:val="20"/>
              </w:rPr>
              <w:t>judges ,</w:t>
            </w:r>
            <w:proofErr w:type="gramEnd"/>
            <w:r w:rsidRPr="00E77C1B">
              <w:rPr>
                <w:sz w:val="20"/>
                <w:szCs w:val="20"/>
              </w:rPr>
              <w:t xml:space="preserve"> 698 </w:t>
            </w:r>
            <w:proofErr w:type="gramStart"/>
            <w:r w:rsidRPr="00E77C1B">
              <w:rPr>
                <w:sz w:val="20"/>
                <w:szCs w:val="20"/>
              </w:rPr>
              <w:t>prosecutors ,</w:t>
            </w:r>
            <w:proofErr w:type="gramEnd"/>
            <w:r w:rsidRPr="00E77C1B">
              <w:rPr>
                <w:sz w:val="20"/>
                <w:szCs w:val="20"/>
              </w:rPr>
              <w:t xml:space="preserve"> and 64 chief prosecutors hold judicial functions in Serbia. According to systematization, Serbia should have 3,102 judges and 899 prosecutors.</w:t>
            </w:r>
          </w:p>
          <w:p w14:paraId="63BD1E3F" w14:textId="326B1EDA" w:rsidR="006D57A3" w:rsidRPr="00767548" w:rsidRDefault="004F3769" w:rsidP="006D57A3">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F3769">
              <w:rPr>
                <w:sz w:val="20"/>
                <w:szCs w:val="20"/>
              </w:rPr>
              <w:t xml:space="preserve">Despite formal reforms and the alignment of legislation with new constitutional provisions, practice shows a serious stagnation in establishing a truly independent and functional judiciary. Mechanisms to protect against undue influence remain largely symbolic, while political and institutional pressures continue through inaction, obstruction, and lack of accountability within judicial </w:t>
            </w:r>
            <w:r w:rsidR="009815A6">
              <w:rPr>
                <w:sz w:val="20"/>
                <w:szCs w:val="20"/>
              </w:rPr>
              <w:t>b</w:t>
            </w:r>
            <w:r w:rsidRPr="004F3769">
              <w:rPr>
                <w:sz w:val="20"/>
                <w:szCs w:val="20"/>
              </w:rPr>
              <w:t>odies. The functioning of judicial councils is practically paralyzed</w:t>
            </w:r>
            <w:r w:rsidR="00105EED">
              <w:rPr>
                <w:sz w:val="20"/>
                <w:szCs w:val="20"/>
              </w:rPr>
              <w:t xml:space="preserve"> until further notice</w:t>
            </w:r>
            <w:r w:rsidRPr="004F3769">
              <w:rPr>
                <w:sz w:val="20"/>
                <w:szCs w:val="20"/>
              </w:rPr>
              <w:t xml:space="preserve">, which directly affects </w:t>
            </w:r>
            <w:r w:rsidR="007276F3">
              <w:rPr>
                <w:sz w:val="20"/>
                <w:szCs w:val="20"/>
              </w:rPr>
              <w:t xml:space="preserve">the selection procedures for new </w:t>
            </w:r>
            <w:proofErr w:type="gramStart"/>
            <w:r w:rsidR="007276F3">
              <w:rPr>
                <w:sz w:val="20"/>
                <w:szCs w:val="20"/>
              </w:rPr>
              <w:t>office-holders</w:t>
            </w:r>
            <w:proofErr w:type="gramEnd"/>
            <w:r w:rsidR="007276F3">
              <w:rPr>
                <w:sz w:val="20"/>
                <w:szCs w:val="20"/>
              </w:rPr>
              <w:t>, prevents proper</w:t>
            </w:r>
            <w:r w:rsidR="007276F3" w:rsidRPr="004F3769">
              <w:rPr>
                <w:sz w:val="20"/>
                <w:szCs w:val="20"/>
              </w:rPr>
              <w:t xml:space="preserve"> </w:t>
            </w:r>
            <w:r w:rsidRPr="004F3769">
              <w:rPr>
                <w:sz w:val="20"/>
                <w:szCs w:val="20"/>
              </w:rPr>
              <w:t>operation of courts and undermines confidence in reforms.</w:t>
            </w:r>
          </w:p>
        </w:tc>
      </w:tr>
    </w:tbl>
    <w:p w14:paraId="0F35A5B7" w14:textId="77777777" w:rsidR="00FB11D0" w:rsidRDefault="00FB11D0"/>
    <w:sectPr w:rsidR="00FB11D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E9062" w14:textId="77777777" w:rsidR="00834CD3" w:rsidRDefault="00834CD3" w:rsidP="006D57A3">
      <w:pPr>
        <w:spacing w:after="0" w:line="240" w:lineRule="auto"/>
      </w:pPr>
      <w:r>
        <w:separator/>
      </w:r>
    </w:p>
  </w:endnote>
  <w:endnote w:type="continuationSeparator" w:id="0">
    <w:p w14:paraId="21BBCDC3" w14:textId="77777777" w:rsidR="00834CD3" w:rsidRDefault="00834CD3" w:rsidP="006D5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624D4" w14:textId="77777777" w:rsidR="00834CD3" w:rsidRDefault="00834CD3" w:rsidP="006D57A3">
      <w:pPr>
        <w:spacing w:after="0" w:line="240" w:lineRule="auto"/>
      </w:pPr>
      <w:r>
        <w:separator/>
      </w:r>
    </w:p>
  </w:footnote>
  <w:footnote w:type="continuationSeparator" w:id="0">
    <w:p w14:paraId="795BE6BF" w14:textId="77777777" w:rsidR="00834CD3" w:rsidRDefault="00834CD3" w:rsidP="006D57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EC33686"/>
    <w:multiLevelType w:val="multilevel"/>
    <w:tmpl w:val="C1C40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506605D"/>
    <w:multiLevelType w:val="multilevel"/>
    <w:tmpl w:val="2C028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4360AE"/>
    <w:multiLevelType w:val="multilevel"/>
    <w:tmpl w:val="696A9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7C3496"/>
    <w:multiLevelType w:val="multilevel"/>
    <w:tmpl w:val="3E4C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3473DFF"/>
    <w:multiLevelType w:val="multilevel"/>
    <w:tmpl w:val="26063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52562A"/>
    <w:multiLevelType w:val="multilevel"/>
    <w:tmpl w:val="C7DCF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09074005">
    <w:abstractNumId w:val="0"/>
  </w:num>
  <w:num w:numId="2" w16cid:durableId="1811746263">
    <w:abstractNumId w:val="1"/>
  </w:num>
  <w:num w:numId="3" w16cid:durableId="732585498">
    <w:abstractNumId w:val="3"/>
  </w:num>
  <w:num w:numId="4" w16cid:durableId="1103845520">
    <w:abstractNumId w:val="7"/>
  </w:num>
  <w:num w:numId="5" w16cid:durableId="852188076">
    <w:abstractNumId w:val="6"/>
  </w:num>
  <w:num w:numId="6" w16cid:durableId="2060279598">
    <w:abstractNumId w:val="2"/>
  </w:num>
  <w:num w:numId="7" w16cid:durableId="1974486048">
    <w:abstractNumId w:val="4"/>
  </w:num>
  <w:num w:numId="8" w16cid:durableId="1712993142">
    <w:abstractNumId w:val="5"/>
  </w:num>
  <w:num w:numId="9" w16cid:durableId="13272468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A3"/>
    <w:rsid w:val="0005756C"/>
    <w:rsid w:val="00061CDA"/>
    <w:rsid w:val="00087263"/>
    <w:rsid w:val="000B7963"/>
    <w:rsid w:val="000C5C64"/>
    <w:rsid w:val="000D0B78"/>
    <w:rsid w:val="00102D74"/>
    <w:rsid w:val="00105EED"/>
    <w:rsid w:val="00121580"/>
    <w:rsid w:val="001301AE"/>
    <w:rsid w:val="00183B19"/>
    <w:rsid w:val="00192FD5"/>
    <w:rsid w:val="001A30EC"/>
    <w:rsid w:val="001F04DC"/>
    <w:rsid w:val="0021155A"/>
    <w:rsid w:val="00292F60"/>
    <w:rsid w:val="002B7D24"/>
    <w:rsid w:val="002C38E4"/>
    <w:rsid w:val="002D512D"/>
    <w:rsid w:val="002F2095"/>
    <w:rsid w:val="00334450"/>
    <w:rsid w:val="00352726"/>
    <w:rsid w:val="003A6A7E"/>
    <w:rsid w:val="003B026F"/>
    <w:rsid w:val="003F3E46"/>
    <w:rsid w:val="003F596F"/>
    <w:rsid w:val="003F70F2"/>
    <w:rsid w:val="004239EC"/>
    <w:rsid w:val="00430076"/>
    <w:rsid w:val="004332F5"/>
    <w:rsid w:val="00446DE9"/>
    <w:rsid w:val="00447C66"/>
    <w:rsid w:val="00465912"/>
    <w:rsid w:val="00484DEA"/>
    <w:rsid w:val="004D621F"/>
    <w:rsid w:val="004F3769"/>
    <w:rsid w:val="004F3C04"/>
    <w:rsid w:val="00551B0E"/>
    <w:rsid w:val="005B7387"/>
    <w:rsid w:val="005D46D4"/>
    <w:rsid w:val="00606EFA"/>
    <w:rsid w:val="006746E9"/>
    <w:rsid w:val="006C164E"/>
    <w:rsid w:val="006D05F8"/>
    <w:rsid w:val="006D57A3"/>
    <w:rsid w:val="006F5871"/>
    <w:rsid w:val="00700F24"/>
    <w:rsid w:val="00713A91"/>
    <w:rsid w:val="007276F3"/>
    <w:rsid w:val="007321D3"/>
    <w:rsid w:val="007541EF"/>
    <w:rsid w:val="00767548"/>
    <w:rsid w:val="00795BCA"/>
    <w:rsid w:val="007B1441"/>
    <w:rsid w:val="007B79BA"/>
    <w:rsid w:val="007C49D6"/>
    <w:rsid w:val="007C5D38"/>
    <w:rsid w:val="007C5E03"/>
    <w:rsid w:val="007F61A7"/>
    <w:rsid w:val="007F793C"/>
    <w:rsid w:val="007F7D9E"/>
    <w:rsid w:val="00834CD3"/>
    <w:rsid w:val="008845CA"/>
    <w:rsid w:val="00887A0D"/>
    <w:rsid w:val="008B668C"/>
    <w:rsid w:val="008D23AF"/>
    <w:rsid w:val="00905C01"/>
    <w:rsid w:val="0095778D"/>
    <w:rsid w:val="00964BDA"/>
    <w:rsid w:val="009815A6"/>
    <w:rsid w:val="0099242E"/>
    <w:rsid w:val="00993A36"/>
    <w:rsid w:val="009B480E"/>
    <w:rsid w:val="009C4BEE"/>
    <w:rsid w:val="009D06C1"/>
    <w:rsid w:val="009F32AD"/>
    <w:rsid w:val="00A705E6"/>
    <w:rsid w:val="00A82E51"/>
    <w:rsid w:val="00A93E8B"/>
    <w:rsid w:val="00AA2432"/>
    <w:rsid w:val="00AD269A"/>
    <w:rsid w:val="00AF125F"/>
    <w:rsid w:val="00B32CAA"/>
    <w:rsid w:val="00B55385"/>
    <w:rsid w:val="00B73372"/>
    <w:rsid w:val="00BB5455"/>
    <w:rsid w:val="00BD2C79"/>
    <w:rsid w:val="00BD3547"/>
    <w:rsid w:val="00BF5DF6"/>
    <w:rsid w:val="00C03EA3"/>
    <w:rsid w:val="00C6153C"/>
    <w:rsid w:val="00C659AB"/>
    <w:rsid w:val="00C85DD2"/>
    <w:rsid w:val="00C90450"/>
    <w:rsid w:val="00CE1263"/>
    <w:rsid w:val="00D04BC1"/>
    <w:rsid w:val="00D12A3A"/>
    <w:rsid w:val="00D248ED"/>
    <w:rsid w:val="00D51983"/>
    <w:rsid w:val="00D612B2"/>
    <w:rsid w:val="00D66A75"/>
    <w:rsid w:val="00D90061"/>
    <w:rsid w:val="00DC240F"/>
    <w:rsid w:val="00DD1510"/>
    <w:rsid w:val="00E338F1"/>
    <w:rsid w:val="00E77C1B"/>
    <w:rsid w:val="00EA49AC"/>
    <w:rsid w:val="00ED1FEE"/>
    <w:rsid w:val="00F059E7"/>
    <w:rsid w:val="00F27AFE"/>
    <w:rsid w:val="00F4529F"/>
    <w:rsid w:val="00F61E43"/>
    <w:rsid w:val="00F87B95"/>
    <w:rsid w:val="00FA03FF"/>
    <w:rsid w:val="00FA21E6"/>
    <w:rsid w:val="00FB11D0"/>
    <w:rsid w:val="00FC311E"/>
    <w:rsid w:val="00FC37F3"/>
    <w:rsid w:val="00FE3116"/>
    <w:rsid w:val="00FF12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9EB7B"/>
  <w15:chartTrackingRefBased/>
  <w15:docId w15:val="{DA214C35-E975-4C55-A8E3-DC54E53DB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57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57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57A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57A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57A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57A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57A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57A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57A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7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57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57A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57A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57A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57A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57A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57A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57A3"/>
    <w:rPr>
      <w:rFonts w:eastAsiaTheme="majorEastAsia" w:cstheme="majorBidi"/>
      <w:color w:val="272727" w:themeColor="text1" w:themeTint="D8"/>
    </w:rPr>
  </w:style>
  <w:style w:type="paragraph" w:styleId="Title">
    <w:name w:val="Title"/>
    <w:basedOn w:val="Normal"/>
    <w:next w:val="Normal"/>
    <w:link w:val="TitleChar"/>
    <w:uiPriority w:val="10"/>
    <w:qFormat/>
    <w:rsid w:val="006D57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57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57A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57A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57A3"/>
    <w:pPr>
      <w:spacing w:before="160"/>
      <w:jc w:val="center"/>
    </w:pPr>
    <w:rPr>
      <w:i/>
      <w:iCs/>
      <w:color w:val="404040" w:themeColor="text1" w:themeTint="BF"/>
    </w:rPr>
  </w:style>
  <w:style w:type="character" w:customStyle="1" w:styleId="QuoteChar">
    <w:name w:val="Quote Char"/>
    <w:basedOn w:val="DefaultParagraphFont"/>
    <w:link w:val="Quote"/>
    <w:uiPriority w:val="29"/>
    <w:rsid w:val="006D57A3"/>
    <w:rPr>
      <w:i/>
      <w:iCs/>
      <w:color w:val="404040" w:themeColor="text1" w:themeTint="BF"/>
    </w:rPr>
  </w:style>
  <w:style w:type="paragraph" w:styleId="ListParagraph">
    <w:name w:val="List Paragraph"/>
    <w:basedOn w:val="Normal"/>
    <w:uiPriority w:val="34"/>
    <w:qFormat/>
    <w:rsid w:val="006D57A3"/>
    <w:pPr>
      <w:ind w:left="720"/>
      <w:contextualSpacing/>
    </w:pPr>
  </w:style>
  <w:style w:type="character" w:styleId="IntenseEmphasis">
    <w:name w:val="Intense Emphasis"/>
    <w:basedOn w:val="DefaultParagraphFont"/>
    <w:uiPriority w:val="21"/>
    <w:qFormat/>
    <w:rsid w:val="006D57A3"/>
    <w:rPr>
      <w:i/>
      <w:iCs/>
      <w:color w:val="2F5496" w:themeColor="accent1" w:themeShade="BF"/>
    </w:rPr>
  </w:style>
  <w:style w:type="paragraph" w:styleId="IntenseQuote">
    <w:name w:val="Intense Quote"/>
    <w:basedOn w:val="Normal"/>
    <w:next w:val="Normal"/>
    <w:link w:val="IntenseQuoteChar"/>
    <w:uiPriority w:val="30"/>
    <w:qFormat/>
    <w:rsid w:val="006D57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57A3"/>
    <w:rPr>
      <w:i/>
      <w:iCs/>
      <w:color w:val="2F5496" w:themeColor="accent1" w:themeShade="BF"/>
    </w:rPr>
  </w:style>
  <w:style w:type="character" w:styleId="IntenseReference">
    <w:name w:val="Intense Reference"/>
    <w:basedOn w:val="DefaultParagraphFont"/>
    <w:uiPriority w:val="32"/>
    <w:qFormat/>
    <w:rsid w:val="006D57A3"/>
    <w:rPr>
      <w:b/>
      <w:bCs/>
      <w:smallCaps/>
      <w:color w:val="2F5496" w:themeColor="accent1" w:themeShade="BF"/>
      <w:spacing w:val="5"/>
    </w:rPr>
  </w:style>
  <w:style w:type="table" w:styleId="GridTable1Light">
    <w:name w:val="Grid Table 1 Light"/>
    <w:basedOn w:val="TableNormal"/>
    <w:uiPriority w:val="46"/>
    <w:rsid w:val="006D57A3"/>
    <w:pPr>
      <w:spacing w:after="0" w:line="240" w:lineRule="auto"/>
    </w:pPr>
    <w:rPr>
      <w:sz w:val="24"/>
      <w:szCs w:val="24"/>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6D57A3"/>
    <w:pPr>
      <w:spacing w:after="0" w:line="240" w:lineRule="auto"/>
    </w:pPr>
    <w:rPr>
      <w:sz w:val="20"/>
      <w:szCs w:val="20"/>
      <w:lang w:val="en-US"/>
    </w:rPr>
  </w:style>
  <w:style w:type="character" w:customStyle="1" w:styleId="FootnoteTextChar">
    <w:name w:val="Footnote Text Char"/>
    <w:basedOn w:val="DefaultParagraphFont"/>
    <w:link w:val="FootnoteText"/>
    <w:uiPriority w:val="99"/>
    <w:semiHidden/>
    <w:rsid w:val="006D57A3"/>
    <w:rPr>
      <w:sz w:val="20"/>
      <w:szCs w:val="20"/>
      <w:lang w:val="en-US"/>
    </w:rPr>
  </w:style>
  <w:style w:type="character" w:styleId="FootnoteReference">
    <w:name w:val="footnote reference"/>
    <w:basedOn w:val="DefaultParagraphFont"/>
    <w:uiPriority w:val="99"/>
    <w:semiHidden/>
    <w:unhideWhenUsed/>
    <w:rsid w:val="006D57A3"/>
    <w:rPr>
      <w:vertAlign w:val="superscript"/>
    </w:rPr>
  </w:style>
  <w:style w:type="character" w:styleId="Hyperlink">
    <w:name w:val="Hyperlink"/>
    <w:basedOn w:val="DefaultParagraphFont"/>
    <w:uiPriority w:val="99"/>
    <w:unhideWhenUsed/>
    <w:rsid w:val="006746E9"/>
    <w:rPr>
      <w:color w:val="0563C1" w:themeColor="hyperlink"/>
      <w:u w:val="single"/>
    </w:rPr>
  </w:style>
  <w:style w:type="character" w:styleId="UnresolvedMention">
    <w:name w:val="Unresolved Mention"/>
    <w:basedOn w:val="DefaultParagraphFont"/>
    <w:uiPriority w:val="99"/>
    <w:semiHidden/>
    <w:unhideWhenUsed/>
    <w:rsid w:val="006746E9"/>
    <w:rPr>
      <w:color w:val="605E5C"/>
      <w:shd w:val="clear" w:color="auto" w:fill="E1DFDD"/>
    </w:rPr>
  </w:style>
  <w:style w:type="paragraph" w:styleId="Revision">
    <w:name w:val="Revision"/>
    <w:hidden/>
    <w:uiPriority w:val="99"/>
    <w:semiHidden/>
    <w:rsid w:val="003F3E46"/>
    <w:pPr>
      <w:spacing w:after="0" w:line="240" w:lineRule="auto"/>
    </w:pPr>
  </w:style>
  <w:style w:type="character" w:styleId="CommentReference">
    <w:name w:val="annotation reference"/>
    <w:basedOn w:val="DefaultParagraphFont"/>
    <w:uiPriority w:val="99"/>
    <w:semiHidden/>
    <w:unhideWhenUsed/>
    <w:rsid w:val="00D04BC1"/>
    <w:rPr>
      <w:sz w:val="16"/>
      <w:szCs w:val="16"/>
    </w:rPr>
  </w:style>
  <w:style w:type="paragraph" w:styleId="CommentText">
    <w:name w:val="annotation text"/>
    <w:basedOn w:val="Normal"/>
    <w:link w:val="CommentTextChar"/>
    <w:uiPriority w:val="99"/>
    <w:semiHidden/>
    <w:unhideWhenUsed/>
    <w:rsid w:val="00D04BC1"/>
    <w:pPr>
      <w:spacing w:line="240" w:lineRule="auto"/>
    </w:pPr>
    <w:rPr>
      <w:sz w:val="20"/>
      <w:szCs w:val="20"/>
    </w:rPr>
  </w:style>
  <w:style w:type="character" w:customStyle="1" w:styleId="CommentTextChar">
    <w:name w:val="Comment Text Char"/>
    <w:basedOn w:val="DefaultParagraphFont"/>
    <w:link w:val="CommentText"/>
    <w:uiPriority w:val="99"/>
    <w:semiHidden/>
    <w:rsid w:val="00D04BC1"/>
    <w:rPr>
      <w:sz w:val="20"/>
      <w:szCs w:val="20"/>
    </w:rPr>
  </w:style>
  <w:style w:type="paragraph" w:styleId="CommentSubject">
    <w:name w:val="annotation subject"/>
    <w:basedOn w:val="CommentText"/>
    <w:next w:val="CommentText"/>
    <w:link w:val="CommentSubjectChar"/>
    <w:uiPriority w:val="99"/>
    <w:semiHidden/>
    <w:unhideWhenUsed/>
    <w:rsid w:val="00D04BC1"/>
    <w:rPr>
      <w:b/>
      <w:bCs/>
    </w:rPr>
  </w:style>
  <w:style w:type="character" w:customStyle="1" w:styleId="CommentSubjectChar">
    <w:name w:val="Comment Subject Char"/>
    <w:basedOn w:val="CommentTextChar"/>
    <w:link w:val="CommentSubject"/>
    <w:uiPriority w:val="99"/>
    <w:semiHidden/>
    <w:rsid w:val="00D04BC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st.jt.rs/category/konkursi/year/2025/" TargetMode="External"/><Relationship Id="rId13" Type="http://schemas.openxmlformats.org/officeDocument/2006/relationships/hyperlink" Target="https://vss.sud.rs/api/documents/preview/godisnji_izvestaj_o_radu_visokog_saveta_sudstva_za_2025_godinu_27_02_2026_14_28_28.pdf" TargetMode="External"/><Relationship Id="rId18" Type="http://schemas.openxmlformats.org/officeDocument/2006/relationships/hyperlink" Target="https://vst.jt.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ss.sud.rs/api/documents/preview/godisnji_izvestaj_o_radu_visokog_saveta_sudstva_za_2025_godinu_27_02_2026_14_28_28.pdf" TargetMode="External"/><Relationship Id="rId17" Type="http://schemas.openxmlformats.org/officeDocument/2006/relationships/hyperlink" Target="https://vss.sud.rs/" TargetMode="External"/><Relationship Id="rId2" Type="http://schemas.openxmlformats.org/officeDocument/2006/relationships/numbering" Target="numbering.xml"/><Relationship Id="rId16" Type="http://schemas.openxmlformats.org/officeDocument/2006/relationships/hyperlink" Target="https://www.paragraf.rs/propisi/zakon_o_sudijama.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st.jt.rs/mreza-javnih-tuzilastva/" TargetMode="External"/><Relationship Id="rId5" Type="http://schemas.openxmlformats.org/officeDocument/2006/relationships/webSettings" Target="webSettings.xml"/><Relationship Id="rId15" Type="http://schemas.openxmlformats.org/officeDocument/2006/relationships/hyperlink" Target="https://www.transparentnost.org.rs/en/initiatives-and-analysis?utm_source=chatgpt.com" TargetMode="External"/><Relationship Id="rId10" Type="http://schemas.openxmlformats.org/officeDocument/2006/relationships/hyperlink" Target="https://vss.sud.rs/spisak-sudija-vs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ss.sud.rs/javni-konkursi" TargetMode="External"/><Relationship Id="rId14" Type="http://schemas.openxmlformats.org/officeDocument/2006/relationships/hyperlink" Target="https://www.paragraf.rs/propisi/zakon-o-visokom-savetu-tuzilastva.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D4FEA-B33F-4026-8824-C3597E0F1E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1836</Words>
  <Characters>10633</Characters>
  <Application>Microsoft Office Word</Application>
  <DocSecurity>0</DocSecurity>
  <Lines>241</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Misa</dc:creator>
  <cp:keywords/>
  <dc:description/>
  <cp:lastModifiedBy>Milena Mihajlovic Denic</cp:lastModifiedBy>
  <cp:revision>10</cp:revision>
  <dcterms:created xsi:type="dcterms:W3CDTF">2026-03-30T12:04:00Z</dcterms:created>
  <dcterms:modified xsi:type="dcterms:W3CDTF">2026-04-24T18:59:00Z</dcterms:modified>
</cp:coreProperties>
</file>